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AE4" w:rsidRPr="0053515A" w:rsidRDefault="007A3AE4" w:rsidP="007A3AE4">
      <w:pPr>
        <w:pStyle w:val="MeetingDetails"/>
      </w:pPr>
      <w:r w:rsidRPr="0053515A">
        <w:t>Members Committee Webinar</w:t>
      </w:r>
    </w:p>
    <w:p w:rsidR="007A3AE4" w:rsidRPr="0053515A" w:rsidRDefault="007A3AE4" w:rsidP="007A3AE4">
      <w:pPr>
        <w:pStyle w:val="MeetingDetails"/>
      </w:pPr>
      <w:r w:rsidRPr="0053515A">
        <w:t>PJM Conference and Training Center</w:t>
      </w:r>
    </w:p>
    <w:p w:rsidR="007A3AE4" w:rsidRPr="0053515A" w:rsidRDefault="00AF63A0" w:rsidP="007A3AE4">
      <w:pPr>
        <w:pStyle w:val="MeetingDetails"/>
        <w:jc w:val="both"/>
      </w:pPr>
      <w:r>
        <w:t>February 18</w:t>
      </w:r>
      <w:r w:rsidR="007A3AE4">
        <w:t>, 20</w:t>
      </w:r>
      <w:r w:rsidR="00E36D50">
        <w:t>20</w:t>
      </w:r>
    </w:p>
    <w:p w:rsidR="007A3AE4" w:rsidRDefault="007A3AE4" w:rsidP="007A3AE4">
      <w:pPr>
        <w:pStyle w:val="MeetingDetails"/>
      </w:pPr>
      <w:r>
        <w:t>1:00</w:t>
      </w:r>
      <w:r w:rsidRPr="0053515A">
        <w:t xml:space="preserve"> p.m</w:t>
      </w:r>
      <w:r w:rsidR="00D869B5">
        <w:t xml:space="preserve">. – </w:t>
      </w:r>
      <w:r w:rsidR="005913FD">
        <w:t>3</w:t>
      </w:r>
      <w:r w:rsidR="00D869B5">
        <w:t>:</w:t>
      </w:r>
      <w:r w:rsidR="005913FD">
        <w:t>3</w:t>
      </w:r>
      <w:r w:rsidRPr="00AB7BBC">
        <w:t>0</w:t>
      </w:r>
      <w:r w:rsidRPr="0053515A">
        <w:t xml:space="preserve">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13D23">
        <w:t>1:00-1</w:t>
      </w:r>
      <w:r w:rsidRPr="00527104">
        <w:t>:0</w:t>
      </w:r>
      <w:r w:rsidR="00C13D23">
        <w:t>5</w:t>
      </w:r>
      <w:r w:rsidR="00B62597" w:rsidRPr="00527104">
        <w:t>)</w:t>
      </w:r>
    </w:p>
    <w:bookmarkEnd w:id="0"/>
    <w:bookmarkEnd w:id="1"/>
    <w:p w:rsidR="00B62597" w:rsidRPr="007A3AE4" w:rsidRDefault="007A3AE4" w:rsidP="007A3AE4">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Ms. Janell Fabiano</w:t>
      </w:r>
    </w:p>
    <w:p w:rsidR="0031699F" w:rsidRPr="0099009B" w:rsidRDefault="007A3AE4" w:rsidP="0099009B">
      <w:pPr>
        <w:pStyle w:val="PrimaryHeading"/>
      </w:pPr>
      <w:r>
        <w:t>Informational Updates</w:t>
      </w:r>
      <w:r w:rsidR="00C13D23">
        <w:t xml:space="preserve"> </w:t>
      </w:r>
      <w:r w:rsidR="001D3B68">
        <w:t>(</w:t>
      </w:r>
      <w:r w:rsidR="00C13D23">
        <w:t>1</w:t>
      </w:r>
      <w:r w:rsidR="001D3B68">
        <w:t>:0</w:t>
      </w:r>
      <w:r w:rsidR="00C13D23">
        <w:t>5</w:t>
      </w:r>
      <w:r w:rsidR="001D3B68">
        <w:t>-</w:t>
      </w:r>
      <w:r w:rsidR="00770B61">
        <w:t>1:</w:t>
      </w:r>
      <w:r w:rsidR="00D469B9">
        <w:t>2</w:t>
      </w:r>
      <w:r w:rsidR="00251E0E">
        <w:t>5</w:t>
      </w:r>
      <w:r w:rsidR="001D3B68">
        <w:t>)</w:t>
      </w:r>
    </w:p>
    <w:p w:rsidR="007A3AE4" w:rsidRPr="00EE111F" w:rsidRDefault="007A3AE4" w:rsidP="007A3AE4">
      <w:pPr>
        <w:pStyle w:val="SecondaryHeading-Numbered"/>
        <w:numPr>
          <w:ilvl w:val="0"/>
          <w:numId w:val="13"/>
        </w:numPr>
        <w:spacing w:after="0"/>
        <w:rPr>
          <w:b w:val="0"/>
          <w:u w:val="single"/>
        </w:rPr>
      </w:pPr>
      <w:r>
        <w:rPr>
          <w:b w:val="0"/>
          <w:u w:val="single"/>
        </w:rPr>
        <w:t>Interregional Coordination (</w:t>
      </w:r>
      <w:r w:rsidR="00251E0E">
        <w:rPr>
          <w:b w:val="0"/>
          <w:u w:val="single"/>
        </w:rPr>
        <w:t>1:</w:t>
      </w:r>
      <w:r w:rsidR="00A62F08">
        <w:rPr>
          <w:b w:val="0"/>
          <w:u w:val="single"/>
        </w:rPr>
        <w:t>0</w:t>
      </w:r>
      <w:r w:rsidR="00E36D50">
        <w:rPr>
          <w:b w:val="0"/>
          <w:u w:val="single"/>
        </w:rPr>
        <w:t>5</w:t>
      </w:r>
      <w:r w:rsidR="00251E0E">
        <w:rPr>
          <w:b w:val="0"/>
          <w:u w:val="single"/>
        </w:rPr>
        <w:t>– 1:</w:t>
      </w:r>
      <w:r w:rsidR="00A62F08">
        <w:rPr>
          <w:b w:val="0"/>
          <w:u w:val="single"/>
        </w:rPr>
        <w:t>1</w:t>
      </w:r>
      <w:r w:rsidR="00E36D50">
        <w:rPr>
          <w:b w:val="0"/>
          <w:u w:val="single"/>
        </w:rPr>
        <w:t>5</w:t>
      </w:r>
      <w:r w:rsidRPr="00EE111F">
        <w:rPr>
          <w:b w:val="0"/>
          <w:u w:val="single"/>
        </w:rPr>
        <w:t>)</w:t>
      </w:r>
    </w:p>
    <w:p w:rsidR="007A3AE4" w:rsidRDefault="007A3AE4" w:rsidP="007A3AE4">
      <w:pPr>
        <w:pStyle w:val="NoSpacing"/>
        <w:ind w:firstLine="360"/>
        <w:rPr>
          <w:rFonts w:ascii="Arial Narrow" w:hAnsi="Arial Narrow"/>
          <w:sz w:val="24"/>
        </w:rPr>
      </w:pPr>
      <w:r w:rsidRPr="000F21AB">
        <w:rPr>
          <w:rFonts w:ascii="Arial Narrow" w:hAnsi="Arial Narrow"/>
          <w:sz w:val="24"/>
        </w:rPr>
        <w:t xml:space="preserve">Mr. </w:t>
      </w:r>
      <w:r>
        <w:rPr>
          <w:rFonts w:ascii="Arial Narrow" w:hAnsi="Arial Narrow"/>
          <w:sz w:val="24"/>
        </w:rPr>
        <w:t>Joseph Ciabattoni</w:t>
      </w:r>
      <w:r w:rsidRPr="000F21AB">
        <w:rPr>
          <w:rFonts w:ascii="Arial Narrow" w:hAnsi="Arial Narrow"/>
          <w:sz w:val="24"/>
        </w:rPr>
        <w:t xml:space="preserve"> will provide an update on interregional coordination activities</w:t>
      </w:r>
    </w:p>
    <w:p w:rsidR="00C017E0" w:rsidRDefault="00C017E0" w:rsidP="007A3AE4">
      <w:pPr>
        <w:pStyle w:val="NoSpacing"/>
        <w:ind w:firstLine="360"/>
        <w:rPr>
          <w:rFonts w:ascii="Arial Narrow" w:hAnsi="Arial Narrow"/>
          <w:sz w:val="24"/>
        </w:rPr>
      </w:pPr>
    </w:p>
    <w:p w:rsidR="00170423" w:rsidRPr="00B46886" w:rsidRDefault="00170423" w:rsidP="00170423">
      <w:pPr>
        <w:pStyle w:val="ListParagraph"/>
        <w:numPr>
          <w:ilvl w:val="0"/>
          <w:numId w:val="13"/>
        </w:numPr>
        <w:rPr>
          <w:rFonts w:ascii="Arial Narrow" w:hAnsi="Arial Narrow"/>
          <w:sz w:val="24"/>
          <w:szCs w:val="24"/>
        </w:rPr>
      </w:pPr>
      <w:r w:rsidRPr="00170423">
        <w:rPr>
          <w:rFonts w:ascii="Arial Narrow" w:hAnsi="Arial Narrow"/>
          <w:sz w:val="24"/>
          <w:szCs w:val="24"/>
          <w:u w:val="single"/>
        </w:rPr>
        <w:t xml:space="preserve">Operational Data </w:t>
      </w:r>
      <w:r w:rsidR="00D469B9">
        <w:rPr>
          <w:rFonts w:ascii="Arial Narrow" w:hAnsi="Arial Narrow"/>
          <w:sz w:val="24"/>
          <w:szCs w:val="24"/>
          <w:u w:val="single"/>
        </w:rPr>
        <w:t xml:space="preserve">&amp; Dispatch Rates </w:t>
      </w:r>
      <w:r w:rsidRPr="00170423">
        <w:rPr>
          <w:rFonts w:ascii="Arial Narrow" w:hAnsi="Arial Narrow"/>
          <w:sz w:val="24"/>
          <w:szCs w:val="24"/>
          <w:u w:val="single"/>
        </w:rPr>
        <w:t>Page Retirement</w:t>
      </w:r>
      <w:r w:rsidR="00D469B9">
        <w:rPr>
          <w:rFonts w:ascii="Arial Narrow" w:hAnsi="Arial Narrow"/>
          <w:sz w:val="24"/>
          <w:szCs w:val="24"/>
          <w:u w:val="single"/>
        </w:rPr>
        <w:t>s</w:t>
      </w:r>
      <w:r w:rsidRPr="00170423">
        <w:rPr>
          <w:rFonts w:ascii="Arial Narrow" w:hAnsi="Arial Narrow"/>
          <w:sz w:val="24"/>
          <w:szCs w:val="24"/>
          <w:u w:val="single"/>
        </w:rPr>
        <w:t xml:space="preserve"> (</w:t>
      </w:r>
      <w:r w:rsidR="0028254F">
        <w:rPr>
          <w:rFonts w:ascii="Arial Narrow" w:hAnsi="Arial Narrow"/>
          <w:sz w:val="24"/>
          <w:szCs w:val="24"/>
          <w:u w:val="single"/>
        </w:rPr>
        <w:t>1:15 – 1:2</w:t>
      </w:r>
      <w:r w:rsidR="00A34AE2">
        <w:rPr>
          <w:rFonts w:ascii="Arial Narrow" w:hAnsi="Arial Narrow"/>
          <w:sz w:val="24"/>
          <w:szCs w:val="24"/>
          <w:u w:val="single"/>
        </w:rPr>
        <w:t>0</w:t>
      </w:r>
      <w:r w:rsidRPr="00170423">
        <w:rPr>
          <w:rFonts w:ascii="Arial Narrow" w:hAnsi="Arial Narrow"/>
          <w:sz w:val="24"/>
          <w:szCs w:val="24"/>
          <w:u w:val="single"/>
        </w:rPr>
        <w:t>)</w:t>
      </w:r>
      <w:r w:rsidR="00BB77DE">
        <w:rPr>
          <w:rFonts w:ascii="Arial Narrow" w:hAnsi="Arial Narrow"/>
          <w:sz w:val="24"/>
          <w:szCs w:val="24"/>
        </w:rPr>
        <w:t xml:space="preserve"> </w:t>
      </w:r>
      <w:r w:rsidR="00BB77DE">
        <w:rPr>
          <w:rFonts w:ascii="Arial Narrow" w:hAnsi="Arial Narrow"/>
          <w:sz w:val="24"/>
          <w:szCs w:val="24"/>
        </w:rPr>
        <w:br/>
        <w:t>Ms. Tawnya Luna will provide information on the retirement of the PJM</w:t>
      </w:r>
      <w:r w:rsidR="00D469B9">
        <w:rPr>
          <w:rFonts w:ascii="Arial Narrow" w:hAnsi="Arial Narrow"/>
          <w:sz w:val="24"/>
          <w:szCs w:val="24"/>
        </w:rPr>
        <w:t xml:space="preserve">.com </w:t>
      </w:r>
      <w:r w:rsidR="00BB77DE">
        <w:rPr>
          <w:rFonts w:ascii="Arial Narrow" w:hAnsi="Arial Narrow"/>
          <w:sz w:val="24"/>
          <w:szCs w:val="24"/>
        </w:rPr>
        <w:t>Operational Data</w:t>
      </w:r>
      <w:r w:rsidR="00D469B9">
        <w:rPr>
          <w:rFonts w:ascii="Arial Narrow" w:hAnsi="Arial Narrow"/>
          <w:sz w:val="24"/>
          <w:szCs w:val="24"/>
        </w:rPr>
        <w:t xml:space="preserve"> and Dispatch Rates</w:t>
      </w:r>
      <w:r w:rsidR="00BB77DE">
        <w:rPr>
          <w:rFonts w:ascii="Arial Narrow" w:hAnsi="Arial Narrow"/>
          <w:sz w:val="24"/>
          <w:szCs w:val="24"/>
        </w:rPr>
        <w:t xml:space="preserve"> page</w:t>
      </w:r>
      <w:r w:rsidR="00D469B9">
        <w:rPr>
          <w:rFonts w:ascii="Arial Narrow" w:hAnsi="Arial Narrow"/>
          <w:sz w:val="24"/>
          <w:szCs w:val="24"/>
        </w:rPr>
        <w:t>s</w:t>
      </w:r>
      <w:r w:rsidR="00BB77DE">
        <w:rPr>
          <w:rFonts w:ascii="Arial Narrow" w:hAnsi="Arial Narrow"/>
          <w:sz w:val="24"/>
          <w:szCs w:val="24"/>
        </w:rPr>
        <w:t xml:space="preserve">. </w:t>
      </w:r>
    </w:p>
    <w:p w:rsidR="00A62F08" w:rsidRDefault="007A3AE4" w:rsidP="007A3AE4">
      <w:pPr>
        <w:pStyle w:val="NoSpacing"/>
        <w:numPr>
          <w:ilvl w:val="0"/>
          <w:numId w:val="13"/>
        </w:numPr>
        <w:rPr>
          <w:rFonts w:ascii="Arial Narrow" w:hAnsi="Arial Narrow"/>
          <w:sz w:val="24"/>
          <w:szCs w:val="24"/>
        </w:rPr>
      </w:pPr>
      <w:r>
        <w:rPr>
          <w:rFonts w:ascii="Arial Narrow" w:hAnsi="Arial Narrow"/>
          <w:sz w:val="24"/>
          <w:szCs w:val="24"/>
          <w:u w:val="single"/>
        </w:rPr>
        <w:t>Stakeholder Process Forum Feedback (</w:t>
      </w:r>
      <w:r w:rsidR="00C017E0">
        <w:rPr>
          <w:rFonts w:ascii="Arial Narrow" w:hAnsi="Arial Narrow"/>
          <w:sz w:val="24"/>
          <w:szCs w:val="24"/>
          <w:u w:val="single"/>
        </w:rPr>
        <w:t>1:</w:t>
      </w:r>
      <w:r w:rsidR="0028254F">
        <w:rPr>
          <w:rFonts w:ascii="Arial Narrow" w:hAnsi="Arial Narrow"/>
          <w:sz w:val="24"/>
          <w:szCs w:val="24"/>
          <w:u w:val="single"/>
        </w:rPr>
        <w:t>20 – 1:2</w:t>
      </w:r>
      <w:r w:rsidR="00A34AE2">
        <w:rPr>
          <w:rFonts w:ascii="Arial Narrow" w:hAnsi="Arial Narrow"/>
          <w:sz w:val="24"/>
          <w:szCs w:val="24"/>
          <w:u w:val="single"/>
        </w:rPr>
        <w:t>5</w:t>
      </w:r>
      <w:r>
        <w:rPr>
          <w:rFonts w:ascii="Arial Narrow" w:hAnsi="Arial Narrow"/>
          <w:sz w:val="24"/>
          <w:szCs w:val="24"/>
          <w:u w:val="single"/>
        </w:rPr>
        <w:t>)</w:t>
      </w:r>
      <w:r>
        <w:rPr>
          <w:rFonts w:ascii="Arial Narrow" w:hAnsi="Arial Narrow"/>
          <w:sz w:val="24"/>
          <w:szCs w:val="24"/>
          <w:u w:val="single"/>
        </w:rPr>
        <w:br/>
      </w:r>
      <w:r>
        <w:rPr>
          <w:rFonts w:ascii="Arial Narrow" w:hAnsi="Arial Narrow"/>
          <w:sz w:val="24"/>
          <w:szCs w:val="24"/>
        </w:rPr>
        <w:t xml:space="preserve">Ms. Michele Greening will </w:t>
      </w:r>
      <w:r w:rsidRPr="001C4A12">
        <w:rPr>
          <w:rFonts w:ascii="Arial Narrow" w:hAnsi="Arial Narrow"/>
          <w:sz w:val="24"/>
          <w:szCs w:val="24"/>
        </w:rPr>
        <w:t xml:space="preserve">summarize discussion from the </w:t>
      </w:r>
      <w:r w:rsidR="00E36D50">
        <w:rPr>
          <w:rFonts w:ascii="Arial Narrow" w:hAnsi="Arial Narrow"/>
          <w:sz w:val="24"/>
          <w:szCs w:val="24"/>
        </w:rPr>
        <w:t>December 2</w:t>
      </w:r>
      <w:r w:rsidRPr="001C4A12">
        <w:rPr>
          <w:rFonts w:ascii="Arial Narrow" w:hAnsi="Arial Narrow"/>
          <w:sz w:val="24"/>
          <w:szCs w:val="24"/>
        </w:rPr>
        <w:t>, 2019</w:t>
      </w:r>
      <w:r>
        <w:rPr>
          <w:rFonts w:ascii="Arial Narrow" w:hAnsi="Arial Narrow"/>
          <w:sz w:val="24"/>
          <w:szCs w:val="24"/>
        </w:rPr>
        <w:t xml:space="preserve"> Stakeholder Process Forum</w:t>
      </w:r>
      <w:r w:rsidR="00A62F08">
        <w:rPr>
          <w:rFonts w:ascii="Arial Narrow" w:hAnsi="Arial Narrow"/>
          <w:sz w:val="24"/>
          <w:szCs w:val="24"/>
        </w:rPr>
        <w:br/>
      </w:r>
    </w:p>
    <w:p w:rsidR="001D3B68" w:rsidRDefault="007A3AE4" w:rsidP="007A3AE4">
      <w:pPr>
        <w:pStyle w:val="PrimaryHeading"/>
        <w:tabs>
          <w:tab w:val="left" w:pos="4755"/>
        </w:tabs>
      </w:pPr>
      <w:r>
        <w:t>Upcoming Stakeholder Process Items</w:t>
      </w:r>
      <w:r>
        <w:tab/>
      </w:r>
    </w:p>
    <w:p w:rsidR="001B2242" w:rsidRDefault="00454195" w:rsidP="007A3AE4">
      <w:pPr>
        <w:pStyle w:val="SecondaryHeading-Numbered"/>
        <w:numPr>
          <w:ilvl w:val="0"/>
          <w:numId w:val="0"/>
        </w:numPr>
        <w:ind w:left="360" w:hanging="360"/>
        <w:rPr>
          <w:b w:val="0"/>
        </w:rPr>
      </w:pPr>
      <w:r>
        <w:rPr>
          <w:b w:val="0"/>
        </w:rPr>
        <w:tab/>
      </w:r>
      <w:r w:rsidR="00D956A7">
        <w:rPr>
          <w:b w:val="0"/>
        </w:rPr>
        <w:t>None</w:t>
      </w:r>
    </w:p>
    <w:p w:rsidR="007A3AE4" w:rsidRDefault="007A3AE4" w:rsidP="007A3AE4">
      <w:pPr>
        <w:pStyle w:val="PrimaryHeading"/>
        <w:tabs>
          <w:tab w:val="left" w:pos="4755"/>
        </w:tabs>
      </w:pPr>
      <w:r>
        <w:t>Reports (</w:t>
      </w:r>
      <w:r w:rsidR="00E36D50">
        <w:t>1</w:t>
      </w:r>
      <w:r w:rsidR="0031699F">
        <w:t>:</w:t>
      </w:r>
      <w:r w:rsidR="0028254F">
        <w:t>2</w:t>
      </w:r>
      <w:r w:rsidR="00A34AE2">
        <w:t>5</w:t>
      </w:r>
      <w:r w:rsidR="00770B61">
        <w:t>-3:</w:t>
      </w:r>
      <w:r w:rsidR="009D1CCA">
        <w:t>2</w:t>
      </w:r>
      <w:r w:rsidR="00770B61">
        <w:t>5</w:t>
      </w:r>
      <w:r w:rsidRPr="00DB29E9">
        <w:t>)</w:t>
      </w:r>
      <w:r>
        <w:tab/>
      </w:r>
    </w:p>
    <w:p w:rsidR="007A3AE4" w:rsidRPr="00B47F15" w:rsidRDefault="007A3AE4" w:rsidP="00A62F08">
      <w:pPr>
        <w:pStyle w:val="SecondaryHeading-Numbered"/>
        <w:numPr>
          <w:ilvl w:val="0"/>
          <w:numId w:val="13"/>
        </w:numPr>
        <w:spacing w:after="0"/>
        <w:rPr>
          <w:b w:val="0"/>
          <w:u w:val="single"/>
        </w:rPr>
      </w:pPr>
      <w:r w:rsidRPr="00EE111F">
        <w:rPr>
          <w:b w:val="0"/>
          <w:u w:val="single"/>
        </w:rPr>
        <w:t>State Activities (</w:t>
      </w:r>
      <w:r w:rsidR="00E36D50">
        <w:rPr>
          <w:b w:val="0"/>
          <w:u w:val="single"/>
        </w:rPr>
        <w:t>1</w:t>
      </w:r>
      <w:r w:rsidR="0031699F">
        <w:rPr>
          <w:b w:val="0"/>
          <w:u w:val="single"/>
        </w:rPr>
        <w:t>:</w:t>
      </w:r>
      <w:r w:rsidR="0028254F">
        <w:rPr>
          <w:b w:val="0"/>
          <w:u w:val="single"/>
        </w:rPr>
        <w:t>2</w:t>
      </w:r>
      <w:r w:rsidR="00A34AE2">
        <w:rPr>
          <w:b w:val="0"/>
          <w:u w:val="single"/>
        </w:rPr>
        <w:t>5</w:t>
      </w:r>
      <w:r w:rsidR="0031699F">
        <w:rPr>
          <w:b w:val="0"/>
          <w:u w:val="single"/>
        </w:rPr>
        <w:t>-</w:t>
      </w:r>
      <w:r w:rsidR="00E36D50">
        <w:rPr>
          <w:b w:val="0"/>
          <w:u w:val="single"/>
        </w:rPr>
        <w:t>1</w:t>
      </w:r>
      <w:r w:rsidR="0031699F">
        <w:rPr>
          <w:b w:val="0"/>
          <w:u w:val="single"/>
        </w:rPr>
        <w:t>:</w:t>
      </w:r>
      <w:r w:rsidR="0028254F">
        <w:rPr>
          <w:b w:val="0"/>
          <w:u w:val="single"/>
        </w:rPr>
        <w:t>30</w:t>
      </w:r>
      <w:r>
        <w:rPr>
          <w:b w:val="0"/>
          <w:u w:val="single"/>
        </w:rPr>
        <w:t>)</w:t>
      </w:r>
      <w:r>
        <w:rPr>
          <w:b w:val="0"/>
          <w:u w:val="single"/>
        </w:rPr>
        <w:br/>
      </w:r>
      <w:r w:rsidRPr="00B47F15">
        <w:rPr>
          <w:b w:val="0"/>
        </w:rPr>
        <w:t>Receive report on recent activities of the Organization of PJM States, Inc. – Mr. Gregory Carmean</w:t>
      </w:r>
      <w:r>
        <w:rPr>
          <w:b w:val="0"/>
          <w:u w:val="single"/>
        </w:rPr>
        <w:br/>
      </w:r>
    </w:p>
    <w:p w:rsidR="00E36D50" w:rsidRPr="00A62F08" w:rsidRDefault="007A3AE4" w:rsidP="00A62F08">
      <w:pPr>
        <w:pStyle w:val="SecondaryHeading-Numbered"/>
        <w:numPr>
          <w:ilvl w:val="0"/>
          <w:numId w:val="13"/>
        </w:numPr>
        <w:spacing w:after="0" w:line="360" w:lineRule="auto"/>
        <w:rPr>
          <w:b w:val="0"/>
          <w:u w:val="single"/>
        </w:rPr>
      </w:pPr>
      <w:r w:rsidRPr="00EE111F">
        <w:rPr>
          <w:b w:val="0"/>
          <w:u w:val="single"/>
        </w:rPr>
        <w:t>Market Monitoring Report (</w:t>
      </w:r>
      <w:r w:rsidR="00E36D50">
        <w:rPr>
          <w:b w:val="0"/>
          <w:u w:val="single"/>
        </w:rPr>
        <w:t>1</w:t>
      </w:r>
      <w:r w:rsidR="00770B61">
        <w:rPr>
          <w:b w:val="0"/>
          <w:u w:val="single"/>
        </w:rPr>
        <w:t>:</w:t>
      </w:r>
      <w:r w:rsidR="0028254F">
        <w:rPr>
          <w:b w:val="0"/>
          <w:u w:val="single"/>
        </w:rPr>
        <w:t>3</w:t>
      </w:r>
      <w:r w:rsidR="00A34AE2">
        <w:rPr>
          <w:b w:val="0"/>
          <w:u w:val="single"/>
        </w:rPr>
        <w:t>0</w:t>
      </w:r>
      <w:r w:rsidR="0031699F">
        <w:rPr>
          <w:b w:val="0"/>
          <w:u w:val="single"/>
        </w:rPr>
        <w:t>-</w:t>
      </w:r>
      <w:r w:rsidR="0028254F">
        <w:rPr>
          <w:b w:val="0"/>
          <w:u w:val="single"/>
        </w:rPr>
        <w:t>1:4</w:t>
      </w:r>
      <w:r w:rsidR="00A34AE2">
        <w:rPr>
          <w:b w:val="0"/>
          <w:u w:val="single"/>
        </w:rPr>
        <w:t>5</w:t>
      </w:r>
      <w:r w:rsidRPr="00EE111F">
        <w:rPr>
          <w:b w:val="0"/>
          <w:u w:val="single"/>
        </w:rPr>
        <w:t>)</w:t>
      </w:r>
      <w:r>
        <w:rPr>
          <w:b w:val="0"/>
          <w:u w:val="single"/>
        </w:rPr>
        <w:br/>
      </w:r>
      <w:r w:rsidRPr="00E3026F">
        <w:rPr>
          <w:b w:val="0"/>
        </w:rPr>
        <w:t>Receive report of the Independent Market Monitor – Mr. Joe Bowring</w:t>
      </w:r>
    </w:p>
    <w:p w:rsidR="00A62F08" w:rsidRPr="00A62F08" w:rsidRDefault="00A62F08" w:rsidP="00A62F08">
      <w:pPr>
        <w:pStyle w:val="SecondaryHeading-Numbered"/>
        <w:numPr>
          <w:ilvl w:val="0"/>
          <w:numId w:val="0"/>
        </w:numPr>
        <w:spacing w:after="0"/>
        <w:ind w:left="360"/>
        <w:rPr>
          <w:b w:val="0"/>
          <w:u w:val="single"/>
        </w:rPr>
      </w:pPr>
    </w:p>
    <w:p w:rsidR="007A3AE4" w:rsidRPr="00EE111F" w:rsidRDefault="007A3AE4" w:rsidP="00A62F08">
      <w:pPr>
        <w:pStyle w:val="SecondaryHeading-Numbered"/>
        <w:numPr>
          <w:ilvl w:val="0"/>
          <w:numId w:val="13"/>
        </w:numPr>
        <w:spacing w:after="0" w:line="360" w:lineRule="auto"/>
        <w:rPr>
          <w:b w:val="0"/>
          <w:u w:val="single"/>
        </w:rPr>
      </w:pPr>
      <w:r w:rsidRPr="00EE111F">
        <w:rPr>
          <w:b w:val="0"/>
          <w:u w:val="single"/>
        </w:rPr>
        <w:t xml:space="preserve">PJM Updates </w:t>
      </w:r>
      <w:r w:rsidR="00251E0E">
        <w:rPr>
          <w:b w:val="0"/>
          <w:u w:val="single"/>
        </w:rPr>
        <w:t>(</w:t>
      </w:r>
      <w:r w:rsidR="0028254F">
        <w:rPr>
          <w:b w:val="0"/>
          <w:u w:val="single"/>
        </w:rPr>
        <w:t>1:4</w:t>
      </w:r>
      <w:r w:rsidR="00A34AE2">
        <w:rPr>
          <w:b w:val="0"/>
          <w:u w:val="single"/>
        </w:rPr>
        <w:t>5</w:t>
      </w:r>
      <w:r w:rsidR="0031699F">
        <w:rPr>
          <w:b w:val="0"/>
          <w:u w:val="single"/>
        </w:rPr>
        <w:t>-</w:t>
      </w:r>
      <w:r w:rsidR="00E36D50">
        <w:rPr>
          <w:b w:val="0"/>
          <w:u w:val="single"/>
        </w:rPr>
        <w:t>2:</w:t>
      </w:r>
      <w:r w:rsidR="0028254F">
        <w:rPr>
          <w:b w:val="0"/>
          <w:u w:val="single"/>
        </w:rPr>
        <w:t>1</w:t>
      </w:r>
      <w:r w:rsidR="00A34AE2">
        <w:rPr>
          <w:b w:val="0"/>
          <w:u w:val="single"/>
        </w:rPr>
        <w:t>5</w:t>
      </w:r>
      <w:r w:rsidRPr="00EE111F">
        <w:rPr>
          <w:b w:val="0"/>
          <w:u w:val="single"/>
        </w:rPr>
        <w:t>)</w:t>
      </w:r>
    </w:p>
    <w:p w:rsidR="007A3AE4" w:rsidRPr="00EE111F" w:rsidRDefault="007A3AE4" w:rsidP="00A62F08">
      <w:pPr>
        <w:pStyle w:val="IndTextS"/>
        <w:widowControl w:val="0"/>
        <w:numPr>
          <w:ilvl w:val="0"/>
          <w:numId w:val="14"/>
        </w:numPr>
        <w:spacing w:after="0" w:line="360" w:lineRule="auto"/>
      </w:pPr>
      <w:r w:rsidRPr="00EE111F">
        <w:t xml:space="preserve">Receive report on market operations – Ms. </w:t>
      </w:r>
      <w:r w:rsidR="00AF63A0">
        <w:t>Jennifer Freeman</w:t>
      </w:r>
    </w:p>
    <w:p w:rsidR="007A3AE4" w:rsidRDefault="007A3AE4" w:rsidP="00A62F08">
      <w:pPr>
        <w:pStyle w:val="IndTextS"/>
        <w:widowControl w:val="0"/>
        <w:numPr>
          <w:ilvl w:val="0"/>
          <w:numId w:val="14"/>
        </w:numPr>
        <w:spacing w:after="0" w:line="360" w:lineRule="auto"/>
      </w:pPr>
      <w:r w:rsidRPr="00EE111F">
        <w:t xml:space="preserve">Receive report on system operations – </w:t>
      </w:r>
      <w:r>
        <w:t xml:space="preserve">Ms. </w:t>
      </w:r>
      <w:r w:rsidR="00486DDB">
        <w:t>Hong Chen</w:t>
      </w:r>
    </w:p>
    <w:p w:rsidR="00AF63A0" w:rsidRDefault="007A3AE4" w:rsidP="00A62F08">
      <w:pPr>
        <w:pStyle w:val="IndTextS"/>
        <w:widowControl w:val="0"/>
        <w:numPr>
          <w:ilvl w:val="0"/>
          <w:numId w:val="14"/>
        </w:numPr>
        <w:spacing w:after="0" w:line="360" w:lineRule="auto"/>
        <w:rPr>
          <w:szCs w:val="24"/>
        </w:rPr>
      </w:pPr>
      <w:r w:rsidRPr="009D7E34">
        <w:t xml:space="preserve">Receive report on recent regulatory activities </w:t>
      </w:r>
      <w:r w:rsidRPr="00E52BC8">
        <w:t xml:space="preserve">– </w:t>
      </w:r>
      <w:r w:rsidR="00AF63A0" w:rsidRPr="00AF63A0">
        <w:rPr>
          <w:szCs w:val="24"/>
        </w:rPr>
        <w:t>Ms. Jessica Troiano</w:t>
      </w:r>
    </w:p>
    <w:p w:rsidR="0099009B" w:rsidRPr="0099009B" w:rsidRDefault="0099009B" w:rsidP="00A62F08">
      <w:pPr>
        <w:spacing w:after="0" w:line="240" w:lineRule="auto"/>
      </w:pPr>
    </w:p>
    <w:p w:rsidR="007A3AE4" w:rsidRDefault="000111EE" w:rsidP="00E36D50">
      <w:pPr>
        <w:pStyle w:val="SecondaryHeading-Numbered"/>
        <w:numPr>
          <w:ilvl w:val="0"/>
          <w:numId w:val="13"/>
        </w:numPr>
        <w:spacing w:after="0" w:line="360" w:lineRule="auto"/>
        <w:rPr>
          <w:b w:val="0"/>
          <w:u w:val="single"/>
        </w:rPr>
      </w:pPr>
      <w:r>
        <w:rPr>
          <w:b w:val="0"/>
          <w:u w:val="single"/>
        </w:rPr>
        <w:t>Standing Committee Reports</w:t>
      </w:r>
      <w:r w:rsidR="007A3AE4" w:rsidRPr="00EE111F">
        <w:rPr>
          <w:b w:val="0"/>
          <w:u w:val="single"/>
        </w:rPr>
        <w:t xml:space="preserve"> (</w:t>
      </w:r>
      <w:r w:rsidR="00E36D50">
        <w:rPr>
          <w:b w:val="0"/>
          <w:u w:val="single"/>
        </w:rPr>
        <w:t>2:</w:t>
      </w:r>
      <w:r w:rsidR="0028254F">
        <w:rPr>
          <w:b w:val="0"/>
          <w:u w:val="single"/>
        </w:rPr>
        <w:t>1</w:t>
      </w:r>
      <w:r w:rsidR="00A34AE2">
        <w:rPr>
          <w:b w:val="0"/>
          <w:u w:val="single"/>
        </w:rPr>
        <w:t>5</w:t>
      </w:r>
      <w:r w:rsidR="00D869B5">
        <w:rPr>
          <w:b w:val="0"/>
          <w:u w:val="single"/>
        </w:rPr>
        <w:t>-</w:t>
      </w:r>
      <w:r w:rsidR="0028254F">
        <w:rPr>
          <w:b w:val="0"/>
          <w:u w:val="single"/>
        </w:rPr>
        <w:t>2:3</w:t>
      </w:r>
      <w:r w:rsidR="00A34AE2">
        <w:rPr>
          <w:b w:val="0"/>
          <w:u w:val="single"/>
        </w:rPr>
        <w:t>5</w:t>
      </w:r>
      <w:r w:rsidR="007A3AE4" w:rsidRPr="00EE111F">
        <w:rPr>
          <w:b w:val="0"/>
          <w:u w:val="single"/>
        </w:rPr>
        <w:t>)</w:t>
      </w:r>
    </w:p>
    <w:p w:rsidR="000111EE" w:rsidRPr="00EE111F" w:rsidRDefault="000111EE" w:rsidP="000111EE">
      <w:pPr>
        <w:pStyle w:val="IndTextS"/>
        <w:widowControl w:val="0"/>
        <w:spacing w:after="0" w:line="360" w:lineRule="auto"/>
        <w:ind w:left="0" w:firstLine="360"/>
      </w:pPr>
      <w:r>
        <w:t xml:space="preserve">A.   </w:t>
      </w:r>
      <w:r w:rsidRPr="00EE111F">
        <w:t>Markets and Reliability Committee (MRC) – Mr. Dave Anders</w:t>
      </w:r>
    </w:p>
    <w:p w:rsidR="000111EE" w:rsidRPr="00EE111F" w:rsidRDefault="000111EE" w:rsidP="000111EE">
      <w:pPr>
        <w:pStyle w:val="IndTextS"/>
        <w:widowControl w:val="0"/>
        <w:numPr>
          <w:ilvl w:val="0"/>
          <w:numId w:val="17"/>
        </w:numPr>
        <w:spacing w:after="0" w:line="360" w:lineRule="auto"/>
      </w:pPr>
      <w:r w:rsidRPr="00EE111F">
        <w:lastRenderedPageBreak/>
        <w:t xml:space="preserve">Market Implementation Committee (MIC) – </w:t>
      </w:r>
      <w:r w:rsidRPr="007C1C24">
        <w:t xml:space="preserve">Ms. </w:t>
      </w:r>
      <w:r>
        <w:t>Bhavana Keshavamurthy</w:t>
      </w:r>
    </w:p>
    <w:p w:rsidR="000111EE" w:rsidRPr="00EE111F" w:rsidRDefault="000111EE" w:rsidP="000111EE">
      <w:pPr>
        <w:pStyle w:val="IndTextS"/>
        <w:widowControl w:val="0"/>
        <w:numPr>
          <w:ilvl w:val="0"/>
          <w:numId w:val="17"/>
        </w:numPr>
        <w:spacing w:after="0" w:line="360" w:lineRule="auto"/>
      </w:pPr>
      <w:r w:rsidRPr="00EE111F">
        <w:t xml:space="preserve">Operating Committee (OC) – </w:t>
      </w:r>
      <w:r>
        <w:t>Ms. Danielle Croop</w:t>
      </w:r>
    </w:p>
    <w:p w:rsidR="000111EE" w:rsidRPr="00EE111F" w:rsidRDefault="000111EE" w:rsidP="000111EE">
      <w:pPr>
        <w:pStyle w:val="IndTextS"/>
        <w:widowControl w:val="0"/>
        <w:numPr>
          <w:ilvl w:val="0"/>
          <w:numId w:val="17"/>
        </w:numPr>
        <w:spacing w:after="0" w:line="360" w:lineRule="auto"/>
      </w:pPr>
      <w:r w:rsidRPr="00EE111F">
        <w:t xml:space="preserve">Planning Committee (PC) – </w:t>
      </w:r>
      <w:r>
        <w:t>Ms. Molly Mooney</w:t>
      </w:r>
    </w:p>
    <w:p w:rsidR="000111EE" w:rsidRDefault="000111EE" w:rsidP="000111EE">
      <w:pPr>
        <w:pStyle w:val="SecondaryHeading-Numbered"/>
        <w:numPr>
          <w:ilvl w:val="0"/>
          <w:numId w:val="0"/>
        </w:numPr>
        <w:spacing w:after="0" w:line="360" w:lineRule="auto"/>
        <w:ind w:left="360"/>
        <w:rPr>
          <w:b w:val="0"/>
          <w:u w:val="single"/>
        </w:rPr>
      </w:pPr>
    </w:p>
    <w:p w:rsidR="00703776" w:rsidRDefault="000111EE" w:rsidP="000111EE">
      <w:pPr>
        <w:pStyle w:val="SecondaryHeading-Numbered"/>
        <w:numPr>
          <w:ilvl w:val="0"/>
          <w:numId w:val="13"/>
        </w:numPr>
        <w:spacing w:after="0" w:line="360" w:lineRule="auto"/>
        <w:rPr>
          <w:b w:val="0"/>
          <w:u w:val="single"/>
        </w:rPr>
      </w:pPr>
      <w:r>
        <w:rPr>
          <w:b w:val="0"/>
          <w:u w:val="single"/>
        </w:rPr>
        <w:t>Informational Reports (</w:t>
      </w:r>
      <w:r w:rsidR="00A34AE2">
        <w:rPr>
          <w:b w:val="0"/>
          <w:u w:val="single"/>
        </w:rPr>
        <w:t>2</w:t>
      </w:r>
      <w:r w:rsidR="0028254F">
        <w:rPr>
          <w:b w:val="0"/>
          <w:u w:val="single"/>
        </w:rPr>
        <w:t>:35 – 3:2</w:t>
      </w:r>
      <w:r w:rsidR="00A34AE2">
        <w:rPr>
          <w:b w:val="0"/>
          <w:u w:val="single"/>
        </w:rPr>
        <w:t>5</w:t>
      </w:r>
      <w:r>
        <w:rPr>
          <w:b w:val="0"/>
          <w:u w:val="single"/>
        </w:rPr>
        <w:t xml:space="preserve">) </w:t>
      </w:r>
    </w:p>
    <w:p w:rsidR="0033450B" w:rsidRDefault="0053312E" w:rsidP="0053312E">
      <w:pPr>
        <w:pStyle w:val="SecondaryHeading-Numbered"/>
        <w:numPr>
          <w:ilvl w:val="0"/>
          <w:numId w:val="0"/>
        </w:numPr>
        <w:spacing w:after="0" w:line="360" w:lineRule="auto"/>
        <w:ind w:left="360"/>
        <w:rPr>
          <w:b w:val="0"/>
        </w:rPr>
      </w:pPr>
      <w:r w:rsidRPr="0053312E">
        <w:rPr>
          <w:b w:val="0"/>
        </w:rPr>
        <w:t xml:space="preserve">A. </w:t>
      </w:r>
      <w:hyperlink r:id="rId8" w:history="1">
        <w:r w:rsidR="0033450B" w:rsidRPr="002C6D2F">
          <w:rPr>
            <w:rStyle w:val="Hyperlink"/>
            <w:szCs w:val="24"/>
          </w:rPr>
          <w:t>Capacity Market Capability of Energy Storage Resources</w:t>
        </w:r>
      </w:hyperlink>
      <w:r w:rsidR="0033450B" w:rsidRPr="0033450B">
        <w:rPr>
          <w:rStyle w:val="Hyperlink"/>
          <w:b w:val="0"/>
          <w:color w:val="auto"/>
          <w:szCs w:val="24"/>
          <w:u w:val="none"/>
        </w:rPr>
        <w:t xml:space="preserve"> (MIC) – Mr. Andrew Levitt</w:t>
      </w:r>
    </w:p>
    <w:p w:rsidR="0053312E" w:rsidRDefault="0033450B" w:rsidP="0053312E">
      <w:pPr>
        <w:pStyle w:val="SecondaryHeading-Numbered"/>
        <w:numPr>
          <w:ilvl w:val="0"/>
          <w:numId w:val="0"/>
        </w:numPr>
        <w:spacing w:after="0" w:line="360" w:lineRule="auto"/>
        <w:ind w:left="360"/>
        <w:rPr>
          <w:rStyle w:val="Hyperlink"/>
          <w:b w:val="0"/>
          <w:color w:val="auto"/>
          <w:szCs w:val="24"/>
          <w:u w:val="none"/>
        </w:rPr>
      </w:pPr>
      <w:r>
        <w:rPr>
          <w:b w:val="0"/>
        </w:rPr>
        <w:t xml:space="preserve">B. </w:t>
      </w:r>
      <w:hyperlink r:id="rId9" w:history="1">
        <w:r w:rsidR="0053312E" w:rsidRPr="002C6D2F">
          <w:rPr>
            <w:rStyle w:val="Hyperlink"/>
            <w:szCs w:val="24"/>
          </w:rPr>
          <w:t>Opportunity Cost Calculator</w:t>
        </w:r>
      </w:hyperlink>
      <w:r w:rsidR="0053312E" w:rsidRPr="0053312E">
        <w:rPr>
          <w:rStyle w:val="Hyperlink"/>
          <w:b w:val="0"/>
          <w:color w:val="auto"/>
          <w:szCs w:val="24"/>
          <w:u w:val="none"/>
        </w:rPr>
        <w:t xml:space="preserve"> (MIC) – Mr. Glen Boyle</w:t>
      </w:r>
    </w:p>
    <w:p w:rsidR="00D648AD" w:rsidRPr="00D648AD" w:rsidRDefault="0033450B" w:rsidP="0053312E">
      <w:pPr>
        <w:pStyle w:val="SecondaryHeading-Numbered"/>
        <w:numPr>
          <w:ilvl w:val="0"/>
          <w:numId w:val="0"/>
        </w:numPr>
        <w:spacing w:after="0" w:line="360" w:lineRule="auto"/>
        <w:ind w:left="360"/>
        <w:rPr>
          <w:rStyle w:val="Hyperlink"/>
          <w:b w:val="0"/>
          <w:color w:val="auto"/>
          <w:szCs w:val="24"/>
          <w:u w:val="none"/>
        </w:rPr>
      </w:pPr>
      <w:r>
        <w:rPr>
          <w:rStyle w:val="Hyperlink"/>
          <w:b w:val="0"/>
          <w:color w:val="auto"/>
          <w:szCs w:val="24"/>
          <w:u w:val="none"/>
        </w:rPr>
        <w:t>C</w:t>
      </w:r>
      <w:r w:rsidR="00D648AD" w:rsidRPr="00D648AD">
        <w:rPr>
          <w:rStyle w:val="Hyperlink"/>
          <w:b w:val="0"/>
          <w:color w:val="auto"/>
          <w:szCs w:val="24"/>
          <w:u w:val="none"/>
        </w:rPr>
        <w:t xml:space="preserve">. </w:t>
      </w:r>
      <w:hyperlink r:id="rId10" w:history="1">
        <w:r w:rsidR="00D648AD" w:rsidRPr="002C6D2F">
          <w:rPr>
            <w:rStyle w:val="Hyperlink"/>
            <w:szCs w:val="24"/>
          </w:rPr>
          <w:t>Five Minute Dispatch and Pricing</w:t>
        </w:r>
      </w:hyperlink>
      <w:r w:rsidR="00D648AD" w:rsidRPr="00D648AD">
        <w:rPr>
          <w:rStyle w:val="Hyperlink"/>
          <w:b w:val="0"/>
          <w:color w:val="auto"/>
          <w:szCs w:val="24"/>
          <w:u w:val="none"/>
        </w:rPr>
        <w:t xml:space="preserve"> (MIC) – Ms. Alex Scheirer</w:t>
      </w:r>
    </w:p>
    <w:p w:rsidR="0053312E" w:rsidRDefault="0033450B" w:rsidP="0053312E">
      <w:pPr>
        <w:pStyle w:val="SecondaryHeading-Numbered"/>
        <w:numPr>
          <w:ilvl w:val="0"/>
          <w:numId w:val="0"/>
        </w:numPr>
        <w:spacing w:after="0" w:line="360" w:lineRule="auto"/>
        <w:ind w:left="360"/>
        <w:rPr>
          <w:rStyle w:val="Hyperlink"/>
          <w:b w:val="0"/>
          <w:color w:val="auto"/>
          <w:szCs w:val="24"/>
          <w:u w:val="none"/>
        </w:rPr>
      </w:pPr>
      <w:r>
        <w:rPr>
          <w:rStyle w:val="Hyperlink"/>
          <w:b w:val="0"/>
          <w:color w:val="auto"/>
          <w:szCs w:val="24"/>
          <w:u w:val="none"/>
        </w:rPr>
        <w:t>D</w:t>
      </w:r>
      <w:r w:rsidR="0053312E" w:rsidRPr="0053312E">
        <w:rPr>
          <w:rStyle w:val="Hyperlink"/>
          <w:b w:val="0"/>
          <w:color w:val="auto"/>
          <w:szCs w:val="24"/>
          <w:u w:val="none"/>
        </w:rPr>
        <w:t xml:space="preserve">. </w:t>
      </w:r>
      <w:hyperlink r:id="rId11" w:history="1">
        <w:r w:rsidR="0053312E" w:rsidRPr="002C6D2F">
          <w:rPr>
            <w:rStyle w:val="Hyperlink"/>
            <w:szCs w:val="24"/>
          </w:rPr>
          <w:t>Fuel Requirements for Black Start Resources</w:t>
        </w:r>
      </w:hyperlink>
      <w:r w:rsidR="0053312E" w:rsidRPr="0053312E">
        <w:rPr>
          <w:rStyle w:val="Hyperlink"/>
          <w:b w:val="0"/>
          <w:color w:val="auto"/>
          <w:szCs w:val="24"/>
          <w:u w:val="none"/>
        </w:rPr>
        <w:t xml:space="preserve"> (OC/MIC) – Ms. Janell Fabiano</w:t>
      </w:r>
    </w:p>
    <w:p w:rsidR="0053312E" w:rsidRPr="0053312E" w:rsidRDefault="0033450B" w:rsidP="0053312E">
      <w:pPr>
        <w:pStyle w:val="SecondaryHeading-Numbered"/>
        <w:numPr>
          <w:ilvl w:val="0"/>
          <w:numId w:val="0"/>
        </w:numPr>
        <w:spacing w:after="0" w:line="360" w:lineRule="auto"/>
        <w:ind w:left="360"/>
        <w:rPr>
          <w:b w:val="0"/>
        </w:rPr>
      </w:pPr>
      <w:r>
        <w:rPr>
          <w:rStyle w:val="Hyperlink"/>
          <w:b w:val="0"/>
          <w:color w:val="auto"/>
          <w:szCs w:val="24"/>
          <w:u w:val="none"/>
        </w:rPr>
        <w:t>E</w:t>
      </w:r>
      <w:r w:rsidR="0053312E">
        <w:rPr>
          <w:rStyle w:val="Hyperlink"/>
          <w:b w:val="0"/>
          <w:color w:val="auto"/>
          <w:szCs w:val="24"/>
          <w:u w:val="none"/>
        </w:rPr>
        <w:t xml:space="preserve">. </w:t>
      </w:r>
      <w:hyperlink r:id="rId12" w:history="1">
        <w:r w:rsidR="0053312E" w:rsidRPr="00D51C73">
          <w:rPr>
            <w:rStyle w:val="Hyperlink"/>
            <w:szCs w:val="24"/>
          </w:rPr>
          <w:t>RTEP Market Efficiency Analysis</w:t>
        </w:r>
      </w:hyperlink>
      <w:r w:rsidR="0053312E" w:rsidRPr="0053312E">
        <w:rPr>
          <w:rStyle w:val="Hyperlink"/>
          <w:b w:val="0"/>
          <w:color w:val="auto"/>
          <w:szCs w:val="24"/>
          <w:u w:val="none"/>
        </w:rPr>
        <w:t xml:space="preserve"> (MEPETF) – Mr. Jack Thomas</w:t>
      </w:r>
    </w:p>
    <w:p w:rsidR="000111EE" w:rsidRDefault="000111EE" w:rsidP="000111EE">
      <w:pPr>
        <w:pStyle w:val="SecondaryHeading-Numbered"/>
        <w:numPr>
          <w:ilvl w:val="0"/>
          <w:numId w:val="0"/>
        </w:numPr>
        <w:spacing w:after="0" w:line="360" w:lineRule="auto"/>
        <w:ind w:left="360"/>
        <w:rPr>
          <w:b w:val="0"/>
          <w:u w:val="single"/>
        </w:rPr>
      </w:pPr>
    </w:p>
    <w:p w:rsidR="00D644DB" w:rsidRPr="009A2B37" w:rsidRDefault="000111EE" w:rsidP="009A2B37">
      <w:pPr>
        <w:pStyle w:val="SecondaryHeading-Numbered"/>
        <w:numPr>
          <w:ilvl w:val="0"/>
          <w:numId w:val="13"/>
        </w:numPr>
        <w:spacing w:after="0" w:line="360" w:lineRule="auto"/>
        <w:rPr>
          <w:b w:val="0"/>
          <w:u w:val="single"/>
        </w:rPr>
      </w:pPr>
      <w:r>
        <w:rPr>
          <w:b w:val="0"/>
          <w:u w:val="single"/>
        </w:rPr>
        <w:t xml:space="preserve">Informational </w:t>
      </w:r>
      <w:r w:rsidR="0053312E">
        <w:rPr>
          <w:b w:val="0"/>
          <w:u w:val="single"/>
        </w:rPr>
        <w:t xml:space="preserve">Only </w:t>
      </w:r>
      <w:r>
        <w:rPr>
          <w:b w:val="0"/>
          <w:u w:val="single"/>
        </w:rPr>
        <w:t xml:space="preserve">Postings </w:t>
      </w:r>
      <w:bookmarkStart w:id="2" w:name="_GoBack"/>
      <w:bookmarkEnd w:id="2"/>
    </w:p>
    <w:tbl>
      <w:tblPr>
        <w:tblStyle w:val="TableGrid"/>
        <w:tblW w:w="8910" w:type="dxa"/>
        <w:tblInd w:w="445" w:type="dxa"/>
        <w:tblLayout w:type="fixed"/>
        <w:tblLook w:val="04A0" w:firstRow="1" w:lastRow="0" w:firstColumn="1" w:lastColumn="0" w:noHBand="0" w:noVBand="1"/>
      </w:tblPr>
      <w:tblGrid>
        <w:gridCol w:w="630"/>
        <w:gridCol w:w="3780"/>
        <w:gridCol w:w="1800"/>
        <w:gridCol w:w="2700"/>
      </w:tblGrid>
      <w:tr w:rsidR="00D644DB" w:rsidRPr="002C6D2F" w:rsidTr="00D644DB">
        <w:tc>
          <w:tcPr>
            <w:tcW w:w="63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Item</w:t>
            </w:r>
          </w:p>
        </w:tc>
        <w:tc>
          <w:tcPr>
            <w:tcW w:w="3780" w:type="dxa"/>
          </w:tcPr>
          <w:p w:rsidR="00D644DB" w:rsidRPr="002C6D2F" w:rsidRDefault="00D644DB" w:rsidP="00B956FE">
            <w:pPr>
              <w:rPr>
                <w:rFonts w:ascii="Arial Narrow" w:hAnsi="Arial Narrow"/>
                <w:b/>
                <w:sz w:val="24"/>
                <w:szCs w:val="24"/>
              </w:rPr>
            </w:pPr>
            <w:r w:rsidRPr="002C6D2F">
              <w:rPr>
                <w:rFonts w:ascii="Arial Narrow" w:hAnsi="Arial Narrow"/>
                <w:b/>
                <w:sz w:val="24"/>
                <w:szCs w:val="24"/>
              </w:rPr>
              <w:t xml:space="preserve">Issue </w:t>
            </w:r>
          </w:p>
        </w:tc>
        <w:tc>
          <w:tcPr>
            <w:tcW w:w="180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Committee</w:t>
            </w:r>
          </w:p>
        </w:tc>
        <w:tc>
          <w:tcPr>
            <w:tcW w:w="2700" w:type="dxa"/>
          </w:tcPr>
          <w:p w:rsidR="00D644DB" w:rsidRPr="002C6D2F" w:rsidRDefault="00D644DB" w:rsidP="00E81220">
            <w:pPr>
              <w:rPr>
                <w:rFonts w:ascii="Arial Narrow" w:hAnsi="Arial Narrow"/>
                <w:b/>
                <w:sz w:val="24"/>
                <w:szCs w:val="24"/>
              </w:rPr>
            </w:pPr>
            <w:r w:rsidRPr="002C6D2F">
              <w:rPr>
                <w:rFonts w:ascii="Arial Narrow" w:hAnsi="Arial Narrow"/>
                <w:b/>
                <w:sz w:val="24"/>
                <w:szCs w:val="24"/>
              </w:rPr>
              <w:t>Stakeholder Process Status</w:t>
            </w:r>
          </w:p>
        </w:tc>
      </w:tr>
      <w:tr w:rsidR="00D644DB" w:rsidRPr="002C6D2F" w:rsidTr="00D644DB">
        <w:tc>
          <w:tcPr>
            <w:tcW w:w="630" w:type="dxa"/>
          </w:tcPr>
          <w:p w:rsidR="00D644DB" w:rsidRPr="002C6D2F" w:rsidRDefault="00D644DB" w:rsidP="00656267">
            <w:pPr>
              <w:rPr>
                <w:rFonts w:ascii="Arial Narrow" w:hAnsi="Arial Narrow"/>
                <w:sz w:val="24"/>
                <w:szCs w:val="24"/>
              </w:rPr>
            </w:pPr>
            <w:r w:rsidRPr="002C6D2F">
              <w:rPr>
                <w:rFonts w:ascii="Arial Narrow" w:hAnsi="Arial Narrow"/>
                <w:sz w:val="24"/>
                <w:szCs w:val="24"/>
              </w:rPr>
              <w:t>a.</w:t>
            </w:r>
          </w:p>
        </w:tc>
        <w:tc>
          <w:tcPr>
            <w:tcW w:w="3780" w:type="dxa"/>
          </w:tcPr>
          <w:p w:rsidR="00D644DB" w:rsidRPr="002C6D2F" w:rsidRDefault="008511FE" w:rsidP="00656267">
            <w:pPr>
              <w:rPr>
                <w:rFonts w:ascii="Arial Narrow" w:hAnsi="Arial Narrow"/>
                <w:sz w:val="24"/>
                <w:szCs w:val="24"/>
              </w:rPr>
            </w:pPr>
            <w:hyperlink r:id="rId13" w:history="1">
              <w:r w:rsidR="00D644DB" w:rsidRPr="002C6D2F">
                <w:rPr>
                  <w:rStyle w:val="Hyperlink"/>
                  <w:rFonts w:ascii="Arial Narrow" w:hAnsi="Arial Narrow"/>
                  <w:sz w:val="24"/>
                  <w:szCs w:val="24"/>
                </w:rPr>
                <w:t>Transparency and End of Life Planning</w:t>
              </w:r>
            </w:hyperlink>
          </w:p>
        </w:tc>
        <w:tc>
          <w:tcPr>
            <w:tcW w:w="1800" w:type="dxa"/>
          </w:tcPr>
          <w:p w:rsidR="00D644DB" w:rsidRPr="002C6D2F" w:rsidRDefault="00D644DB" w:rsidP="00656267">
            <w:pPr>
              <w:rPr>
                <w:rFonts w:ascii="Arial Narrow" w:hAnsi="Arial Narrow"/>
                <w:sz w:val="24"/>
                <w:szCs w:val="24"/>
              </w:rPr>
            </w:pPr>
            <w:r w:rsidRPr="002C6D2F">
              <w:rPr>
                <w:rFonts w:ascii="Arial Narrow" w:hAnsi="Arial Narrow"/>
                <w:sz w:val="24"/>
                <w:szCs w:val="24"/>
              </w:rPr>
              <w:t>MRC Special Sessions</w:t>
            </w:r>
          </w:p>
        </w:tc>
        <w:tc>
          <w:tcPr>
            <w:tcW w:w="2700" w:type="dxa"/>
          </w:tcPr>
          <w:p w:rsidR="00D644DB" w:rsidRPr="002C6D2F" w:rsidRDefault="00D644DB" w:rsidP="00656267">
            <w:pPr>
              <w:rPr>
                <w:rFonts w:ascii="Arial Narrow" w:hAnsi="Arial Narrow"/>
                <w:sz w:val="24"/>
                <w:szCs w:val="24"/>
              </w:rPr>
            </w:pPr>
            <w:r w:rsidRPr="002C6D2F">
              <w:rPr>
                <w:rFonts w:ascii="Arial Narrow" w:hAnsi="Arial Narrow"/>
                <w:sz w:val="24"/>
                <w:szCs w:val="24"/>
              </w:rPr>
              <w:t>Developing Options</w:t>
            </w:r>
          </w:p>
        </w:tc>
      </w:tr>
      <w:tr w:rsidR="00722DDC" w:rsidRPr="002C6D2F" w:rsidTr="00D644DB">
        <w:tc>
          <w:tcPr>
            <w:tcW w:w="630" w:type="dxa"/>
          </w:tcPr>
          <w:p w:rsidR="00722DDC" w:rsidRPr="002C6D2F" w:rsidRDefault="00722DDC" w:rsidP="00722DDC">
            <w:pPr>
              <w:rPr>
                <w:rFonts w:ascii="Arial Narrow" w:hAnsi="Arial Narrow"/>
                <w:sz w:val="24"/>
                <w:szCs w:val="24"/>
              </w:rPr>
            </w:pPr>
            <w:r>
              <w:rPr>
                <w:rFonts w:ascii="Arial Narrow" w:hAnsi="Arial Narrow"/>
                <w:sz w:val="24"/>
                <w:szCs w:val="24"/>
              </w:rPr>
              <w:t xml:space="preserve">b. </w:t>
            </w:r>
          </w:p>
        </w:tc>
        <w:tc>
          <w:tcPr>
            <w:tcW w:w="3780" w:type="dxa"/>
          </w:tcPr>
          <w:p w:rsidR="00722DDC" w:rsidRPr="002C6D2F" w:rsidRDefault="008511FE" w:rsidP="00722DDC">
            <w:pPr>
              <w:rPr>
                <w:rFonts w:ascii="Arial Narrow" w:hAnsi="Arial Narrow"/>
                <w:sz w:val="24"/>
                <w:szCs w:val="24"/>
              </w:rPr>
            </w:pPr>
            <w:hyperlink r:id="rId14" w:history="1">
              <w:r w:rsidR="00722DDC" w:rsidRPr="002C6D2F">
                <w:rPr>
                  <w:rStyle w:val="Hyperlink"/>
                  <w:rFonts w:ascii="Arial Narrow" w:hAnsi="Arial Narrow"/>
                  <w:sz w:val="24"/>
                  <w:szCs w:val="24"/>
                </w:rPr>
                <w:t>Real Time Market Values</w:t>
              </w:r>
            </w:hyperlink>
          </w:p>
        </w:tc>
        <w:tc>
          <w:tcPr>
            <w:tcW w:w="1800" w:type="dxa"/>
          </w:tcPr>
          <w:p w:rsidR="00722DDC" w:rsidRPr="002C6D2F" w:rsidRDefault="00722DDC" w:rsidP="00722DDC">
            <w:pPr>
              <w:rPr>
                <w:rFonts w:ascii="Arial Narrow" w:hAnsi="Arial Narrow"/>
                <w:sz w:val="24"/>
                <w:szCs w:val="24"/>
              </w:rPr>
            </w:pPr>
            <w:r w:rsidRPr="002C6D2F">
              <w:rPr>
                <w:rFonts w:ascii="Arial Narrow" w:hAnsi="Arial Narrow"/>
                <w:sz w:val="24"/>
                <w:szCs w:val="24"/>
              </w:rPr>
              <w:t>MIC</w:t>
            </w:r>
          </w:p>
        </w:tc>
        <w:tc>
          <w:tcPr>
            <w:tcW w:w="2700" w:type="dxa"/>
          </w:tcPr>
          <w:p w:rsidR="00722DDC" w:rsidRPr="002C6D2F" w:rsidRDefault="00722DDC" w:rsidP="00722DDC">
            <w:pPr>
              <w:rPr>
                <w:rFonts w:ascii="Arial Narrow" w:hAnsi="Arial Narrow"/>
                <w:sz w:val="24"/>
                <w:szCs w:val="24"/>
              </w:rPr>
            </w:pPr>
            <w:r w:rsidRPr="002C6D2F">
              <w:rPr>
                <w:rFonts w:ascii="Arial Narrow" w:hAnsi="Arial Narrow"/>
                <w:sz w:val="24"/>
                <w:szCs w:val="24"/>
              </w:rPr>
              <w:t>Education</w:t>
            </w:r>
          </w:p>
        </w:tc>
      </w:tr>
      <w:tr w:rsidR="00722DDC" w:rsidRPr="002C6D2F" w:rsidTr="00D644DB">
        <w:tc>
          <w:tcPr>
            <w:tcW w:w="630" w:type="dxa"/>
          </w:tcPr>
          <w:p w:rsidR="00722DDC" w:rsidRPr="002C6D2F" w:rsidRDefault="0033450B" w:rsidP="00722DDC">
            <w:pPr>
              <w:rPr>
                <w:rFonts w:ascii="Arial Narrow" w:hAnsi="Arial Narrow"/>
                <w:sz w:val="24"/>
                <w:szCs w:val="24"/>
              </w:rPr>
            </w:pPr>
            <w:r>
              <w:rPr>
                <w:rFonts w:ascii="Arial Narrow" w:hAnsi="Arial Narrow"/>
                <w:sz w:val="24"/>
                <w:szCs w:val="24"/>
              </w:rPr>
              <w:t>c</w:t>
            </w:r>
            <w:r w:rsidR="00722DDC">
              <w:rPr>
                <w:rFonts w:ascii="Arial Narrow" w:hAnsi="Arial Narrow"/>
                <w:sz w:val="24"/>
                <w:szCs w:val="24"/>
              </w:rPr>
              <w:t xml:space="preserve">. </w:t>
            </w:r>
          </w:p>
        </w:tc>
        <w:tc>
          <w:tcPr>
            <w:tcW w:w="3780" w:type="dxa"/>
          </w:tcPr>
          <w:p w:rsidR="00722DDC" w:rsidRPr="002C6D2F" w:rsidRDefault="008511FE" w:rsidP="00722DDC">
            <w:pPr>
              <w:rPr>
                <w:rFonts w:ascii="Arial Narrow" w:hAnsi="Arial Narrow"/>
                <w:sz w:val="24"/>
                <w:szCs w:val="24"/>
              </w:rPr>
            </w:pPr>
            <w:hyperlink r:id="rId15" w:history="1">
              <w:r w:rsidR="00722DDC" w:rsidRPr="002C6D2F">
                <w:rPr>
                  <w:rStyle w:val="Hyperlink"/>
                  <w:rFonts w:ascii="Arial Narrow" w:hAnsi="Arial Narrow"/>
                  <w:sz w:val="24"/>
                  <w:szCs w:val="24"/>
                </w:rPr>
                <w:t>Stability Limits in Markets and Operations</w:t>
              </w:r>
            </w:hyperlink>
          </w:p>
        </w:tc>
        <w:tc>
          <w:tcPr>
            <w:tcW w:w="1800" w:type="dxa"/>
          </w:tcPr>
          <w:p w:rsidR="00722DDC" w:rsidRPr="002C6D2F" w:rsidRDefault="00722DDC" w:rsidP="00722DDC">
            <w:pPr>
              <w:rPr>
                <w:rFonts w:ascii="Arial Narrow" w:hAnsi="Arial Narrow"/>
                <w:sz w:val="24"/>
                <w:szCs w:val="24"/>
              </w:rPr>
            </w:pPr>
            <w:r w:rsidRPr="002C6D2F">
              <w:rPr>
                <w:rFonts w:ascii="Arial Narrow" w:hAnsi="Arial Narrow"/>
                <w:sz w:val="24"/>
                <w:szCs w:val="24"/>
              </w:rPr>
              <w:t>MIC</w:t>
            </w:r>
          </w:p>
        </w:tc>
        <w:tc>
          <w:tcPr>
            <w:tcW w:w="2700" w:type="dxa"/>
          </w:tcPr>
          <w:p w:rsidR="00722DDC" w:rsidRPr="002C6D2F" w:rsidRDefault="00722DDC" w:rsidP="00722DDC">
            <w:pPr>
              <w:rPr>
                <w:rFonts w:ascii="Arial Narrow" w:hAnsi="Arial Narrow"/>
                <w:sz w:val="24"/>
                <w:szCs w:val="24"/>
              </w:rPr>
            </w:pPr>
            <w:r w:rsidRPr="002C6D2F">
              <w:rPr>
                <w:rFonts w:ascii="Arial Narrow" w:hAnsi="Arial Narrow"/>
                <w:sz w:val="24"/>
                <w:szCs w:val="24"/>
              </w:rPr>
              <w:t>Education</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d</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16" w:history="1">
              <w:r w:rsidR="00D648AD" w:rsidRPr="002C6D2F">
                <w:rPr>
                  <w:rStyle w:val="Hyperlink"/>
                  <w:rFonts w:ascii="Arial Narrow" w:hAnsi="Arial Narrow"/>
                  <w:sz w:val="24"/>
                  <w:szCs w:val="24"/>
                </w:rPr>
                <w:t>Fuel Cost Policy</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MIC</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Solution Alternatives Proposed</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 xml:space="preserve">e. </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17" w:history="1">
              <w:r w:rsidR="00D648AD" w:rsidRPr="002C6D2F">
                <w:rPr>
                  <w:rStyle w:val="Hyperlink"/>
                  <w:rFonts w:ascii="Arial Narrow" w:hAnsi="Arial Narrow"/>
                  <w:sz w:val="24"/>
                  <w:szCs w:val="24"/>
                </w:rPr>
                <w:t>Non-Retail Behind the Meter Generation Business Rules</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OC</w:t>
            </w:r>
          </w:p>
        </w:tc>
        <w:tc>
          <w:tcPr>
            <w:tcW w:w="2700" w:type="dxa"/>
          </w:tcPr>
          <w:p w:rsidR="00D648AD" w:rsidRPr="002C6D2F" w:rsidRDefault="00D648AD" w:rsidP="00D648AD">
            <w:pPr>
              <w:rPr>
                <w:rFonts w:ascii="Arial Narrow" w:hAnsi="Arial Narrow"/>
                <w:sz w:val="24"/>
                <w:szCs w:val="24"/>
              </w:rPr>
            </w:pPr>
            <w:r>
              <w:rPr>
                <w:rFonts w:ascii="Arial Narrow" w:hAnsi="Arial Narrow"/>
                <w:sz w:val="24"/>
                <w:szCs w:val="24"/>
              </w:rPr>
              <w:t>Education</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f</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18" w:history="1">
              <w:r w:rsidR="00D648AD" w:rsidRPr="002C6D2F">
                <w:rPr>
                  <w:rStyle w:val="Hyperlink"/>
                  <w:rFonts w:ascii="Arial Narrow" w:hAnsi="Arial Narrow"/>
                  <w:sz w:val="24"/>
                  <w:szCs w:val="24"/>
                </w:rPr>
                <w:t>Critical Infrastructure Stakeholder Oversight</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PC</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Education</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g</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19" w:history="1">
              <w:r w:rsidR="00D648AD" w:rsidRPr="002C6D2F">
                <w:rPr>
                  <w:rStyle w:val="Hyperlink"/>
                  <w:rFonts w:ascii="Arial Narrow" w:hAnsi="Arial Narrow"/>
                  <w:sz w:val="24"/>
                  <w:szCs w:val="24"/>
                </w:rPr>
                <w:t>ARR/FTR Market Review</w:t>
              </w:r>
            </w:hyperlink>
          </w:p>
        </w:tc>
        <w:tc>
          <w:tcPr>
            <w:tcW w:w="1800" w:type="dxa"/>
          </w:tcPr>
          <w:p w:rsidR="00D648AD" w:rsidRPr="002C6D2F" w:rsidRDefault="00D648AD" w:rsidP="00D648AD">
            <w:pPr>
              <w:rPr>
                <w:rFonts w:ascii="Arial Narrow" w:hAnsi="Arial Narrow"/>
                <w:sz w:val="24"/>
                <w:szCs w:val="24"/>
              </w:rPr>
            </w:pPr>
            <w:r>
              <w:rPr>
                <w:rFonts w:ascii="Arial Narrow" w:hAnsi="Arial Narrow"/>
                <w:sz w:val="24"/>
                <w:szCs w:val="24"/>
              </w:rPr>
              <w:t>AF</w:t>
            </w:r>
            <w:r w:rsidRPr="002C6D2F">
              <w:rPr>
                <w:rFonts w:ascii="Arial Narrow" w:hAnsi="Arial Narrow"/>
                <w:sz w:val="24"/>
                <w:szCs w:val="24"/>
              </w:rPr>
              <w:t>MTF</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Education</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h</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20" w:history="1">
              <w:r w:rsidR="00D648AD" w:rsidRPr="002C6D2F">
                <w:rPr>
                  <w:rStyle w:val="Hyperlink"/>
                  <w:rFonts w:ascii="Arial Narrow" w:hAnsi="Arial Narrow"/>
                  <w:sz w:val="24"/>
                  <w:szCs w:val="24"/>
                </w:rPr>
                <w:t>Carbon Pricing</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CPSTF</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Education</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i</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21" w:history="1">
              <w:r w:rsidR="00D648AD" w:rsidRPr="002C6D2F">
                <w:rPr>
                  <w:rStyle w:val="Hyperlink"/>
                  <w:rFonts w:ascii="Arial Narrow" w:hAnsi="Arial Narrow"/>
                  <w:sz w:val="24"/>
                  <w:szCs w:val="24"/>
                </w:rPr>
                <w:t>Distributed Energy Resources in PJM Markets</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DERS</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Packages</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j</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22" w:history="1">
              <w:r w:rsidR="00D648AD" w:rsidRPr="00D51C73">
                <w:rPr>
                  <w:rStyle w:val="Hyperlink"/>
                  <w:rFonts w:ascii="Arial Narrow" w:hAnsi="Arial Narrow"/>
                  <w:sz w:val="24"/>
                  <w:szCs w:val="24"/>
                </w:rPr>
                <w:t>Financial Risk Mitigation</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FRMSTF</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Solution Alternatives Proposed</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k</w:t>
            </w:r>
            <w:r w:rsidR="00D648AD">
              <w:rPr>
                <w:rFonts w:ascii="Arial Narrow" w:hAnsi="Arial Narrow"/>
                <w:sz w:val="24"/>
                <w:szCs w:val="24"/>
              </w:rPr>
              <w:t xml:space="preserve">. </w:t>
            </w:r>
          </w:p>
        </w:tc>
        <w:tc>
          <w:tcPr>
            <w:tcW w:w="3780" w:type="dxa"/>
          </w:tcPr>
          <w:p w:rsidR="00D648AD" w:rsidRPr="00F072CF" w:rsidRDefault="008511FE" w:rsidP="00D648AD">
            <w:pPr>
              <w:rPr>
                <w:rFonts w:ascii="Arial Narrow" w:hAnsi="Arial Narrow"/>
                <w:sz w:val="24"/>
                <w:szCs w:val="24"/>
              </w:rPr>
            </w:pPr>
            <w:hyperlink r:id="rId23" w:history="1">
              <w:r w:rsidR="00D648AD" w:rsidRPr="00F072CF">
                <w:rPr>
                  <w:rStyle w:val="Hyperlink"/>
                  <w:rFonts w:ascii="Arial Narrow" w:hAnsi="Arial Narrow"/>
                  <w:sz w:val="24"/>
                  <w:szCs w:val="24"/>
                </w:rPr>
                <w:t>Harmonizing Provisions of Governing Documents</w:t>
              </w:r>
            </w:hyperlink>
          </w:p>
        </w:tc>
        <w:tc>
          <w:tcPr>
            <w:tcW w:w="1800" w:type="dxa"/>
          </w:tcPr>
          <w:p w:rsidR="00D648AD" w:rsidRPr="002C6D2F" w:rsidRDefault="00D648AD" w:rsidP="00D648AD">
            <w:pPr>
              <w:rPr>
                <w:rFonts w:ascii="Arial Narrow" w:hAnsi="Arial Narrow"/>
                <w:sz w:val="24"/>
                <w:szCs w:val="24"/>
              </w:rPr>
            </w:pPr>
            <w:r>
              <w:rPr>
                <w:rFonts w:ascii="Arial Narrow" w:hAnsi="Arial Narrow"/>
                <w:sz w:val="24"/>
                <w:szCs w:val="24"/>
              </w:rPr>
              <w:t>GDECS</w:t>
            </w:r>
          </w:p>
        </w:tc>
        <w:tc>
          <w:tcPr>
            <w:tcW w:w="2700" w:type="dxa"/>
          </w:tcPr>
          <w:p w:rsidR="00D648AD" w:rsidRPr="002C6D2F" w:rsidRDefault="00D648AD" w:rsidP="00D648AD">
            <w:pPr>
              <w:rPr>
                <w:rFonts w:ascii="Arial Narrow" w:hAnsi="Arial Narrow"/>
                <w:sz w:val="24"/>
                <w:szCs w:val="24"/>
              </w:rPr>
            </w:pPr>
            <w:r>
              <w:rPr>
                <w:rFonts w:ascii="Arial Narrow" w:hAnsi="Arial Narrow"/>
                <w:sz w:val="24"/>
                <w:szCs w:val="24"/>
              </w:rPr>
              <w:t>Reviewing Language Edits</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l</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24" w:history="1">
              <w:r w:rsidR="00D648AD" w:rsidRPr="00D51C73">
                <w:rPr>
                  <w:rStyle w:val="Hyperlink"/>
                  <w:rFonts w:ascii="Arial Narrow" w:hAnsi="Arial Narrow"/>
                  <w:sz w:val="24"/>
                  <w:szCs w:val="24"/>
                </w:rPr>
                <w:t>Modeling Generation in Markets Gateway</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MGSTF</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Solution Alternatives Proposed</w:t>
            </w:r>
          </w:p>
        </w:tc>
      </w:tr>
      <w:tr w:rsidR="00D648AD" w:rsidRPr="002C6D2F" w:rsidTr="00D644DB">
        <w:tc>
          <w:tcPr>
            <w:tcW w:w="630" w:type="dxa"/>
          </w:tcPr>
          <w:p w:rsidR="00D648AD" w:rsidRPr="002C6D2F" w:rsidRDefault="0033450B" w:rsidP="00D648AD">
            <w:pPr>
              <w:rPr>
                <w:rFonts w:ascii="Arial Narrow" w:hAnsi="Arial Narrow"/>
                <w:sz w:val="24"/>
                <w:szCs w:val="24"/>
              </w:rPr>
            </w:pPr>
            <w:r>
              <w:rPr>
                <w:rFonts w:ascii="Arial Narrow" w:hAnsi="Arial Narrow"/>
                <w:sz w:val="24"/>
                <w:szCs w:val="24"/>
              </w:rPr>
              <w:t>m</w:t>
            </w:r>
            <w:r w:rsidR="00D648AD">
              <w:rPr>
                <w:rFonts w:ascii="Arial Narrow" w:hAnsi="Arial Narrow"/>
                <w:sz w:val="24"/>
                <w:szCs w:val="24"/>
              </w:rPr>
              <w:t xml:space="preserve">. </w:t>
            </w:r>
          </w:p>
        </w:tc>
        <w:tc>
          <w:tcPr>
            <w:tcW w:w="3780" w:type="dxa"/>
          </w:tcPr>
          <w:p w:rsidR="00D648AD" w:rsidRPr="002C6D2F" w:rsidRDefault="008511FE" w:rsidP="00D648AD">
            <w:pPr>
              <w:rPr>
                <w:rFonts w:ascii="Arial Narrow" w:hAnsi="Arial Narrow"/>
                <w:sz w:val="24"/>
                <w:szCs w:val="24"/>
              </w:rPr>
            </w:pPr>
            <w:hyperlink r:id="rId25" w:history="1">
              <w:r w:rsidR="00D648AD" w:rsidRPr="00D51C73">
                <w:rPr>
                  <w:rStyle w:val="Hyperlink"/>
                  <w:rFonts w:ascii="Arial Narrow" w:hAnsi="Arial Narrow"/>
                  <w:sz w:val="24"/>
                  <w:szCs w:val="24"/>
                </w:rPr>
                <w:t>Load Reconciliation Process</w:t>
              </w:r>
            </w:hyperlink>
          </w:p>
        </w:tc>
        <w:tc>
          <w:tcPr>
            <w:tcW w:w="18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MSS</w:t>
            </w:r>
          </w:p>
        </w:tc>
        <w:tc>
          <w:tcPr>
            <w:tcW w:w="2700" w:type="dxa"/>
          </w:tcPr>
          <w:p w:rsidR="00D648AD" w:rsidRPr="002C6D2F" w:rsidRDefault="00D648AD" w:rsidP="00D648AD">
            <w:pPr>
              <w:rPr>
                <w:rFonts w:ascii="Arial Narrow" w:hAnsi="Arial Narrow"/>
                <w:sz w:val="24"/>
                <w:szCs w:val="24"/>
              </w:rPr>
            </w:pPr>
            <w:r w:rsidRPr="002C6D2F">
              <w:rPr>
                <w:rFonts w:ascii="Arial Narrow" w:hAnsi="Arial Narrow"/>
                <w:sz w:val="24"/>
                <w:szCs w:val="24"/>
              </w:rPr>
              <w:t>Polling</w:t>
            </w:r>
          </w:p>
        </w:tc>
      </w:tr>
    </w:tbl>
    <w:p w:rsidR="007A3AE4" w:rsidRPr="007A3AE4" w:rsidRDefault="007A3AE4" w:rsidP="000111EE">
      <w:pPr>
        <w:pStyle w:val="IndTextS"/>
        <w:widowControl w:val="0"/>
        <w:spacing w:after="0" w:line="360" w:lineRule="auto"/>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462"/>
        <w:gridCol w:w="652"/>
        <w:gridCol w:w="3128"/>
      </w:tblGrid>
      <w:tr w:rsidR="00BB531B" w:rsidTr="007A3AE4">
        <w:tc>
          <w:tcPr>
            <w:tcW w:w="9360" w:type="dxa"/>
            <w:gridSpan w:val="4"/>
          </w:tcPr>
          <w:p w:rsidR="00BB531B" w:rsidRDefault="002B2F98" w:rsidP="00E36D50">
            <w:pPr>
              <w:pStyle w:val="PrimaryHeading"/>
            </w:pPr>
            <w:r>
              <w:t>Future Agenda Items (</w:t>
            </w:r>
            <w:r w:rsidR="00770B61">
              <w:t>3:</w:t>
            </w:r>
            <w:r w:rsidR="00E36D50">
              <w:t>25</w:t>
            </w:r>
            <w:r w:rsidR="00D869B5">
              <w:t xml:space="preserve"> - </w:t>
            </w:r>
            <w:r w:rsidR="00E36D50">
              <w:t>3:3</w:t>
            </w:r>
            <w:r w:rsidR="00BB531B">
              <w:t>0)</w:t>
            </w:r>
          </w:p>
        </w:tc>
      </w:tr>
      <w:tr w:rsidR="00BB531B" w:rsidTr="007A3AE4">
        <w:trPr>
          <w:trHeight w:val="296"/>
        </w:trPr>
        <w:tc>
          <w:tcPr>
            <w:tcW w:w="9360" w:type="dxa"/>
            <w:gridSpan w:val="4"/>
          </w:tcPr>
          <w:p w:rsidR="00BB531B" w:rsidRDefault="00BB531B" w:rsidP="00BB531B">
            <w:pPr>
              <w:pStyle w:val="AttendeesList"/>
            </w:pPr>
          </w:p>
        </w:tc>
      </w:tr>
      <w:tr w:rsidR="00BB531B" w:rsidTr="00D4652E">
        <w:trPr>
          <w:trHeight w:val="279"/>
        </w:trPr>
        <w:tc>
          <w:tcPr>
            <w:tcW w:w="9360" w:type="dxa"/>
            <w:gridSpan w:val="4"/>
          </w:tcPr>
          <w:p w:rsidR="00BB531B" w:rsidRDefault="00606F11" w:rsidP="007C2954">
            <w:pPr>
              <w:pStyle w:val="PrimaryHeading"/>
            </w:pPr>
            <w:r>
              <w:t>Future Meeting Dates</w:t>
            </w:r>
          </w:p>
        </w:tc>
      </w:tr>
      <w:tr w:rsidR="00D4652E" w:rsidTr="00D4652E">
        <w:tc>
          <w:tcPr>
            <w:tcW w:w="3118" w:type="dxa"/>
          </w:tcPr>
          <w:p w:rsidR="00D4652E" w:rsidRDefault="00D4652E" w:rsidP="00D4652E">
            <w:pPr>
              <w:rPr>
                <w:rFonts w:ascii="Arial Narrow" w:hAnsi="Arial Narrow"/>
                <w:sz w:val="20"/>
                <w:szCs w:val="20"/>
              </w:rPr>
            </w:pPr>
            <w:r>
              <w:rPr>
                <w:rFonts w:ascii="Arial Narrow" w:hAnsi="Arial Narrow"/>
                <w:sz w:val="20"/>
                <w:szCs w:val="20"/>
              </w:rPr>
              <w:t>March 23, 2020</w:t>
            </w:r>
            <w:r>
              <w:rPr>
                <w:rFonts w:ascii="Arial Narrow" w:hAnsi="Arial Narrow"/>
                <w:sz w:val="20"/>
                <w:szCs w:val="20"/>
              </w:rPr>
              <w:br/>
            </w:r>
            <w:r w:rsidR="009A2B37">
              <w:rPr>
                <w:rFonts w:ascii="Arial Narrow" w:hAnsi="Arial Narrow"/>
                <w:sz w:val="20"/>
                <w:szCs w:val="20"/>
              </w:rPr>
              <w:t>May 26</w:t>
            </w:r>
            <w:r>
              <w:rPr>
                <w:rFonts w:ascii="Arial Narrow" w:hAnsi="Arial Narrow"/>
                <w:sz w:val="20"/>
                <w:szCs w:val="20"/>
              </w:rPr>
              <w:t>, 2020</w:t>
            </w:r>
            <w:r>
              <w:rPr>
                <w:rFonts w:ascii="Arial Narrow" w:hAnsi="Arial Narrow"/>
                <w:sz w:val="20"/>
                <w:szCs w:val="20"/>
              </w:rPr>
              <w:br/>
              <w:t>June 15, 2020</w:t>
            </w:r>
            <w:r>
              <w:rPr>
                <w:rFonts w:ascii="Arial Narrow" w:hAnsi="Arial Narrow"/>
                <w:sz w:val="20"/>
                <w:szCs w:val="20"/>
              </w:rPr>
              <w:br/>
              <w:t>July 20, 2020</w:t>
            </w:r>
            <w:r>
              <w:rPr>
                <w:rFonts w:ascii="Arial Narrow" w:hAnsi="Arial Narrow"/>
                <w:sz w:val="20"/>
                <w:szCs w:val="20"/>
              </w:rPr>
              <w:br/>
              <w:t>September 14, 2020</w:t>
            </w:r>
            <w:r>
              <w:rPr>
                <w:rFonts w:ascii="Arial Narrow" w:hAnsi="Arial Narrow"/>
                <w:sz w:val="20"/>
                <w:szCs w:val="20"/>
              </w:rPr>
              <w:br/>
              <w:t>October 26, 2020</w:t>
            </w:r>
            <w:r>
              <w:rPr>
                <w:rFonts w:ascii="Arial Narrow" w:hAnsi="Arial Narrow"/>
                <w:sz w:val="20"/>
                <w:szCs w:val="20"/>
              </w:rPr>
              <w:br/>
              <w:t>November 16, 2020/</w:t>
            </w:r>
          </w:p>
          <w:p w:rsidR="00D4652E" w:rsidRPr="00EE111F" w:rsidRDefault="00D4652E" w:rsidP="00D4652E">
            <w:pPr>
              <w:rPr>
                <w:rFonts w:ascii="Arial Narrow" w:hAnsi="Arial Narrow"/>
                <w:sz w:val="20"/>
                <w:szCs w:val="20"/>
              </w:rPr>
            </w:pPr>
            <w:r>
              <w:rPr>
                <w:rFonts w:ascii="Arial Narrow" w:hAnsi="Arial Narrow"/>
                <w:sz w:val="20"/>
                <w:szCs w:val="20"/>
              </w:rPr>
              <w:t>December 14, 2020</w:t>
            </w:r>
          </w:p>
        </w:tc>
        <w:tc>
          <w:tcPr>
            <w:tcW w:w="2462" w:type="dxa"/>
          </w:tcPr>
          <w:p w:rsidR="00D4652E" w:rsidRPr="00EE111F" w:rsidRDefault="00D4652E" w:rsidP="00D4652E">
            <w:pPr>
              <w:rPr>
                <w:rFonts w:ascii="Arial Narrow" w:hAnsi="Arial Narrow"/>
                <w:sz w:val="20"/>
                <w:szCs w:val="20"/>
              </w:rPr>
            </w:pPr>
            <w:r>
              <w:rPr>
                <w:rFonts w:ascii="Arial Narrow" w:hAnsi="Arial Narrow"/>
                <w:sz w:val="20"/>
                <w:szCs w:val="20"/>
              </w:rP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r>
              <w:rPr>
                <w:rFonts w:ascii="Arial Narrow" w:hAnsi="Arial Narrow"/>
                <w:sz w:val="20"/>
                <w:szCs w:val="20"/>
              </w:rPr>
              <w:br/>
              <w:t>1:00 p.m.</w:t>
            </w:r>
          </w:p>
        </w:tc>
        <w:tc>
          <w:tcPr>
            <w:tcW w:w="3780" w:type="dxa"/>
            <w:gridSpan w:val="2"/>
          </w:tcPr>
          <w:p w:rsidR="00D4652E" w:rsidRPr="00EE111F" w:rsidRDefault="00D4652E" w:rsidP="00D4652E">
            <w:pPr>
              <w:rPr>
                <w:rFonts w:ascii="Arial Narrow" w:hAnsi="Arial Narrow"/>
                <w:sz w:val="20"/>
                <w:szCs w:val="20"/>
              </w:rPr>
            </w:pPr>
            <w:r>
              <w:rPr>
                <w:rFonts w:ascii="Arial Narrow" w:hAnsi="Arial Narrow"/>
                <w:sz w:val="20"/>
                <w:szCs w:val="20"/>
              </w:rPr>
              <w:t>PJM Conference and Training Center/ WebEx PJM Conference and Training Center/ WebEx PJM Conference and Training Center/ WebEx PJM Conference and Training Center/ WebEx PJM Conference and Training Center/ WebEx PJM Conference and Training Center/ WebEx PJM Conference and Training Center/ WebEx PJM Conference and Training Center/ WebEx</w:t>
            </w:r>
            <w:r>
              <w:rPr>
                <w:rFonts w:ascii="Arial Narrow" w:hAnsi="Arial Narrow"/>
                <w:sz w:val="20"/>
                <w:szCs w:val="20"/>
              </w:rPr>
              <w:br/>
            </w:r>
          </w:p>
        </w:tc>
      </w:tr>
      <w:tr w:rsidR="00D4652E" w:rsidTr="00D4652E">
        <w:tc>
          <w:tcPr>
            <w:tcW w:w="3118" w:type="dxa"/>
          </w:tcPr>
          <w:p w:rsidR="00D4652E" w:rsidRPr="00EE111F" w:rsidRDefault="00D4652E" w:rsidP="00D4652E">
            <w:pPr>
              <w:rPr>
                <w:rFonts w:ascii="Arial Narrow" w:hAnsi="Arial Narrow"/>
                <w:sz w:val="20"/>
                <w:szCs w:val="20"/>
              </w:rPr>
            </w:pPr>
          </w:p>
        </w:tc>
        <w:tc>
          <w:tcPr>
            <w:tcW w:w="3114" w:type="dxa"/>
            <w:gridSpan w:val="2"/>
          </w:tcPr>
          <w:p w:rsidR="00D4652E" w:rsidRPr="00EE111F" w:rsidRDefault="00D4652E" w:rsidP="00D4652E">
            <w:pPr>
              <w:rPr>
                <w:rFonts w:ascii="Arial Narrow" w:hAnsi="Arial Narrow"/>
                <w:sz w:val="20"/>
                <w:szCs w:val="20"/>
              </w:rPr>
            </w:pPr>
          </w:p>
        </w:tc>
        <w:tc>
          <w:tcPr>
            <w:tcW w:w="3128" w:type="dxa"/>
          </w:tcPr>
          <w:p w:rsidR="00D4652E" w:rsidRPr="00EE111F" w:rsidRDefault="00D4652E" w:rsidP="00D4652E">
            <w:pPr>
              <w:rPr>
                <w:rFonts w:ascii="Arial Narrow" w:hAnsi="Arial Narrow"/>
                <w:sz w:val="20"/>
                <w:szCs w:val="20"/>
              </w:rPr>
            </w:pPr>
          </w:p>
        </w:tc>
      </w:tr>
    </w:tbl>
    <w:p w:rsidR="00B62597" w:rsidRDefault="00882652" w:rsidP="00337321">
      <w:pPr>
        <w:pStyle w:val="Author"/>
      </w:pPr>
      <w:r>
        <w:t xml:space="preserve">Author: </w:t>
      </w:r>
      <w:r w:rsidR="00D4652E">
        <w:t>Janell L Fabiano</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E36D50" w:rsidP="00337321">
      <w:pPr>
        <w:pStyle w:val="DisclosureTitle"/>
      </w:pPr>
      <w:r>
        <w:br/>
      </w:r>
      <w:r w:rsidR="00B62597"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lastRenderedPageBreak/>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2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FC6251">
      <w:headerReference w:type="default" r:id="rId30"/>
      <w:footerReference w:type="even" r:id="rId31"/>
      <w:footerReference w:type="default" r:id="rId32"/>
      <w:pgSz w:w="12240" w:h="15840"/>
      <w:pgMar w:top="1440" w:right="1440" w:bottom="1440" w:left="1440" w:header="720" w:footer="669"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FE" w:rsidRDefault="008511FE" w:rsidP="00B62597">
      <w:pPr>
        <w:spacing w:after="0" w:line="240" w:lineRule="auto"/>
      </w:pPr>
      <w:r>
        <w:separator/>
      </w:r>
    </w:p>
  </w:endnote>
  <w:endnote w:type="continuationSeparator" w:id="0">
    <w:p w:rsidR="008511FE" w:rsidRDefault="008511F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51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450B">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F28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E36D50">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FE" w:rsidRDefault="008511FE" w:rsidP="00B62597">
      <w:pPr>
        <w:spacing w:after="0" w:line="240" w:lineRule="auto"/>
      </w:pPr>
      <w:r>
        <w:separator/>
      </w:r>
    </w:p>
  </w:footnote>
  <w:footnote w:type="continuationSeparator" w:id="0">
    <w:p w:rsidR="008511FE" w:rsidRDefault="008511F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801C5"/>
    <w:multiLevelType w:val="hybridMultilevel"/>
    <w:tmpl w:val="F9E21AEC"/>
    <w:lvl w:ilvl="0" w:tplc="880E0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85D1A"/>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55CC8"/>
    <w:multiLevelType w:val="hybridMultilevel"/>
    <w:tmpl w:val="63AE7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37E2421"/>
    <w:multiLevelType w:val="hybridMultilevel"/>
    <w:tmpl w:val="78689704"/>
    <w:lvl w:ilvl="0" w:tplc="EBD6071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5"/>
  </w:num>
  <w:num w:numId="10">
    <w:abstractNumId w:val="0"/>
  </w:num>
  <w:num w:numId="11">
    <w:abstractNumId w:val="8"/>
  </w:num>
  <w:num w:numId="12">
    <w:abstractNumId w:val="3"/>
  </w:num>
  <w:num w:numId="13">
    <w:abstractNumId w:val="9"/>
  </w:num>
  <w:num w:numId="14">
    <w:abstractNumId w:val="1"/>
  </w:num>
  <w:num w:numId="15">
    <w:abstractNumId w:val="4"/>
  </w:num>
  <w:num w:numId="16">
    <w:abstractNumId w:val="8"/>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4A"/>
    <w:rsid w:val="00010057"/>
    <w:rsid w:val="000111EE"/>
    <w:rsid w:val="00011A00"/>
    <w:rsid w:val="00027F49"/>
    <w:rsid w:val="000333FF"/>
    <w:rsid w:val="00076E7D"/>
    <w:rsid w:val="00092135"/>
    <w:rsid w:val="000A6232"/>
    <w:rsid w:val="000B06CE"/>
    <w:rsid w:val="000F3D46"/>
    <w:rsid w:val="001025A6"/>
    <w:rsid w:val="0012364A"/>
    <w:rsid w:val="0012557C"/>
    <w:rsid w:val="0013349A"/>
    <w:rsid w:val="00157E7F"/>
    <w:rsid w:val="001678E8"/>
    <w:rsid w:val="00170423"/>
    <w:rsid w:val="001B2242"/>
    <w:rsid w:val="001C0CC0"/>
    <w:rsid w:val="001D3B68"/>
    <w:rsid w:val="001D3E7F"/>
    <w:rsid w:val="001F215D"/>
    <w:rsid w:val="002113BD"/>
    <w:rsid w:val="00246EDF"/>
    <w:rsid w:val="00251E0E"/>
    <w:rsid w:val="0028254F"/>
    <w:rsid w:val="00291D38"/>
    <w:rsid w:val="002B2F98"/>
    <w:rsid w:val="002C6057"/>
    <w:rsid w:val="002C6D2F"/>
    <w:rsid w:val="002E19FE"/>
    <w:rsid w:val="00305238"/>
    <w:rsid w:val="00313EFB"/>
    <w:rsid w:val="003144D9"/>
    <w:rsid w:val="0031699F"/>
    <w:rsid w:val="003251CE"/>
    <w:rsid w:val="0033450B"/>
    <w:rsid w:val="00334E3F"/>
    <w:rsid w:val="00337321"/>
    <w:rsid w:val="0034477C"/>
    <w:rsid w:val="00353B90"/>
    <w:rsid w:val="00361C27"/>
    <w:rsid w:val="003A00CA"/>
    <w:rsid w:val="003B55E1"/>
    <w:rsid w:val="003D7E5C"/>
    <w:rsid w:val="003E740E"/>
    <w:rsid w:val="003E7A73"/>
    <w:rsid w:val="00413778"/>
    <w:rsid w:val="00454195"/>
    <w:rsid w:val="004805AE"/>
    <w:rsid w:val="00486DDB"/>
    <w:rsid w:val="004877D7"/>
    <w:rsid w:val="00491490"/>
    <w:rsid w:val="00494494"/>
    <w:rsid w:val="004969FA"/>
    <w:rsid w:val="00527104"/>
    <w:rsid w:val="0053312E"/>
    <w:rsid w:val="00552A2E"/>
    <w:rsid w:val="00552D18"/>
    <w:rsid w:val="00564DEE"/>
    <w:rsid w:val="0057441E"/>
    <w:rsid w:val="00585687"/>
    <w:rsid w:val="005913FD"/>
    <w:rsid w:val="005D6D05"/>
    <w:rsid w:val="00602967"/>
    <w:rsid w:val="00604879"/>
    <w:rsid w:val="00606F11"/>
    <w:rsid w:val="00617943"/>
    <w:rsid w:val="00656267"/>
    <w:rsid w:val="006D33CD"/>
    <w:rsid w:val="00703776"/>
    <w:rsid w:val="00712CAA"/>
    <w:rsid w:val="00716A8B"/>
    <w:rsid w:val="00722DDC"/>
    <w:rsid w:val="007321E0"/>
    <w:rsid w:val="007411F9"/>
    <w:rsid w:val="00741F46"/>
    <w:rsid w:val="00744A45"/>
    <w:rsid w:val="00754C6D"/>
    <w:rsid w:val="00755096"/>
    <w:rsid w:val="00770B61"/>
    <w:rsid w:val="00783918"/>
    <w:rsid w:val="007A34A3"/>
    <w:rsid w:val="007A3AE4"/>
    <w:rsid w:val="007C2954"/>
    <w:rsid w:val="007D4F70"/>
    <w:rsid w:val="007E2448"/>
    <w:rsid w:val="007E7CAB"/>
    <w:rsid w:val="007F47DA"/>
    <w:rsid w:val="00825B5F"/>
    <w:rsid w:val="00837B12"/>
    <w:rsid w:val="00841282"/>
    <w:rsid w:val="008511FE"/>
    <w:rsid w:val="00882652"/>
    <w:rsid w:val="008B7B46"/>
    <w:rsid w:val="008F2D27"/>
    <w:rsid w:val="00917386"/>
    <w:rsid w:val="00942D89"/>
    <w:rsid w:val="0098119A"/>
    <w:rsid w:val="0099009B"/>
    <w:rsid w:val="00991528"/>
    <w:rsid w:val="009A2B37"/>
    <w:rsid w:val="009A5430"/>
    <w:rsid w:val="009C15C4"/>
    <w:rsid w:val="009C73E8"/>
    <w:rsid w:val="009C7C2E"/>
    <w:rsid w:val="009D1CCA"/>
    <w:rsid w:val="009F53F9"/>
    <w:rsid w:val="009F54E7"/>
    <w:rsid w:val="00A05391"/>
    <w:rsid w:val="00A1490D"/>
    <w:rsid w:val="00A317A9"/>
    <w:rsid w:val="00A34AE2"/>
    <w:rsid w:val="00A41149"/>
    <w:rsid w:val="00A459D2"/>
    <w:rsid w:val="00A62F08"/>
    <w:rsid w:val="00AD1638"/>
    <w:rsid w:val="00AE1566"/>
    <w:rsid w:val="00AF63A0"/>
    <w:rsid w:val="00AF7B03"/>
    <w:rsid w:val="00AF7EC8"/>
    <w:rsid w:val="00B16D95"/>
    <w:rsid w:val="00B20316"/>
    <w:rsid w:val="00B34E3C"/>
    <w:rsid w:val="00B46886"/>
    <w:rsid w:val="00B62597"/>
    <w:rsid w:val="00B956FE"/>
    <w:rsid w:val="00BA6146"/>
    <w:rsid w:val="00BB531B"/>
    <w:rsid w:val="00BB77DE"/>
    <w:rsid w:val="00BE30F5"/>
    <w:rsid w:val="00BF331B"/>
    <w:rsid w:val="00C017E0"/>
    <w:rsid w:val="00C13D23"/>
    <w:rsid w:val="00C35690"/>
    <w:rsid w:val="00C439EC"/>
    <w:rsid w:val="00C447E4"/>
    <w:rsid w:val="00C5307B"/>
    <w:rsid w:val="00C56C2C"/>
    <w:rsid w:val="00C72168"/>
    <w:rsid w:val="00C757F4"/>
    <w:rsid w:val="00C82226"/>
    <w:rsid w:val="00C87840"/>
    <w:rsid w:val="00CA49B9"/>
    <w:rsid w:val="00CB19DE"/>
    <w:rsid w:val="00CB475B"/>
    <w:rsid w:val="00CC1B47"/>
    <w:rsid w:val="00D136EA"/>
    <w:rsid w:val="00D251ED"/>
    <w:rsid w:val="00D4652E"/>
    <w:rsid w:val="00D469B9"/>
    <w:rsid w:val="00D51C73"/>
    <w:rsid w:val="00D52510"/>
    <w:rsid w:val="00D644DB"/>
    <w:rsid w:val="00D648AD"/>
    <w:rsid w:val="00D869B5"/>
    <w:rsid w:val="00D956A7"/>
    <w:rsid w:val="00D95949"/>
    <w:rsid w:val="00DB29E9"/>
    <w:rsid w:val="00DC5AC9"/>
    <w:rsid w:val="00DE34CF"/>
    <w:rsid w:val="00DE6C2D"/>
    <w:rsid w:val="00E16926"/>
    <w:rsid w:val="00E2332A"/>
    <w:rsid w:val="00E32B6B"/>
    <w:rsid w:val="00E36D50"/>
    <w:rsid w:val="00E55E84"/>
    <w:rsid w:val="00E978B5"/>
    <w:rsid w:val="00EB4927"/>
    <w:rsid w:val="00EB68B0"/>
    <w:rsid w:val="00EC4A64"/>
    <w:rsid w:val="00F00494"/>
    <w:rsid w:val="00F072CF"/>
    <w:rsid w:val="00F4190F"/>
    <w:rsid w:val="00F52557"/>
    <w:rsid w:val="00F91844"/>
    <w:rsid w:val="00FC2B9A"/>
    <w:rsid w:val="00FC6251"/>
    <w:rsid w:val="00FD0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5D83E"/>
  <w15:docId w15:val="{42C92A55-6C41-4EEC-9F37-E875B264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link w:val="NoSpacingChar"/>
    <w:uiPriority w:val="1"/>
    <w:qFormat/>
    <w:rsid w:val="007A3AE4"/>
    <w:pPr>
      <w:spacing w:after="0" w:line="240" w:lineRule="auto"/>
    </w:pPr>
    <w:rPr>
      <w:rFonts w:ascii="Calibri" w:eastAsia="Calibri" w:hAnsi="Calibri" w:cs="Times New Roman"/>
    </w:rPr>
  </w:style>
  <w:style w:type="character" w:customStyle="1" w:styleId="NoSpacingChar">
    <w:name w:val="No Spacing Char"/>
    <w:link w:val="NoSpacing"/>
    <w:uiPriority w:val="1"/>
    <w:rsid w:val="007A3AE4"/>
    <w:rPr>
      <w:rFonts w:ascii="Calibri" w:eastAsia="Calibri" w:hAnsi="Calibri" w:cs="Times New Roman"/>
    </w:rPr>
  </w:style>
  <w:style w:type="paragraph" w:customStyle="1" w:styleId="IndTextS">
    <w:name w:val="Ind_Text[S]"/>
    <w:basedOn w:val="Normal"/>
    <w:next w:val="Normal"/>
    <w:rsid w:val="007A3AE4"/>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A62F08"/>
    <w:pPr>
      <w:ind w:left="720"/>
      <w:contextualSpacing/>
    </w:pPr>
  </w:style>
  <w:style w:type="paragraph" w:styleId="Revision">
    <w:name w:val="Revision"/>
    <w:hidden/>
    <w:uiPriority w:val="99"/>
    <w:semiHidden/>
    <w:rsid w:val="00FC6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9874">
      <w:bodyDiv w:val="1"/>
      <w:marLeft w:val="0"/>
      <w:marRight w:val="0"/>
      <w:marTop w:val="0"/>
      <w:marBottom w:val="0"/>
      <w:divBdr>
        <w:top w:val="none" w:sz="0" w:space="0" w:color="auto"/>
        <w:left w:val="none" w:sz="0" w:space="0" w:color="auto"/>
        <w:bottom w:val="none" w:sz="0" w:space="0" w:color="auto"/>
        <w:right w:val="none" w:sz="0" w:space="0" w:color="auto"/>
      </w:divBdr>
    </w:div>
    <w:div w:id="412507681">
      <w:bodyDiv w:val="1"/>
      <w:marLeft w:val="0"/>
      <w:marRight w:val="0"/>
      <w:marTop w:val="0"/>
      <w:marBottom w:val="0"/>
      <w:divBdr>
        <w:top w:val="none" w:sz="0" w:space="0" w:color="auto"/>
        <w:left w:val="none" w:sz="0" w:space="0" w:color="auto"/>
        <w:bottom w:val="none" w:sz="0" w:space="0" w:color="auto"/>
        <w:right w:val="none" w:sz="0" w:space="0" w:color="auto"/>
      </w:divBdr>
    </w:div>
    <w:div w:id="104472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7b9345784D-C023-457C-897E-A91C39FB4486%7d" TargetMode="External"/><Relationship Id="rId13" Type="http://schemas.openxmlformats.org/officeDocument/2006/relationships/hyperlink" Target="https://www.pjm.com/committees-and-groups/issue-tracking/issue-tracking-details.aspx?Issue=%7b23B82425-6796-4B0C-8C4A-5FF9B6B5F061%7d" TargetMode="External"/><Relationship Id="rId18" Type="http://schemas.openxmlformats.org/officeDocument/2006/relationships/hyperlink" Target="https://www.pjm.com/committees-and-groups/issue-tracking/issue-tracking-details.aspx?Issue=%7b65EAD8D9-51DD-49C1-8B7B-5E02FB8CB3C6%7d"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pjm.com/committees-and-groups/issue-tracking/issue-tracking-details.aspx?Issue=%7b90F4F5C2-761F-438E-8030-F7A8912FA161%7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7BCD7A1D-2981-4761-9B6A-BB34462900F9%7d" TargetMode="External"/><Relationship Id="rId17" Type="http://schemas.openxmlformats.org/officeDocument/2006/relationships/hyperlink" Target="https://www.pjm.com/committees-and-groups/issue-tracking/issue-tracking-details.aspx?Issue=%7b11F0CD39-9096-45D1-BECB-D01FF0B77086%7d" TargetMode="External"/><Relationship Id="rId25" Type="http://schemas.openxmlformats.org/officeDocument/2006/relationships/hyperlink" Target="https://www.pjm.com/committees-and-groups/issue-tracking/issue-tracking-details.aspx?Issue=%7b3B9BD28F-DCCD-4D88-A01F-5A279CB9D1B8%7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jm.com/committees-and-groups/issue-tracking/issue-tracking-details.aspx?Issue=%7b507B0C86-D058-4D4B-8F8F-79008C49126B%7d" TargetMode="External"/><Relationship Id="rId20" Type="http://schemas.openxmlformats.org/officeDocument/2006/relationships/hyperlink" Target="https://www.pjm.com/committees-and-groups/issue-tracking/issue-tracking-details.aspx?Issue=%7b6D27F558-5540-485C-890C-856CFCC8A3A6%7d" TargetMode="External"/><Relationship Id="rId29" Type="http://schemas.openxmlformats.org/officeDocument/2006/relationships/hyperlink" Target="https://learn.pj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issue-tracking/issue-tracking-details.aspx?Issue=%7bB7F726E1-9F06-414E-8516-4D69B5050AF4%7d" TargetMode="External"/><Relationship Id="rId24" Type="http://schemas.openxmlformats.org/officeDocument/2006/relationships/hyperlink" Target="https://www.pjm.com/committees-and-groups/issue-tracking/issue-tracking-details.aspx?Issue=%7b9EA001DE-90F5-465F-85EE-24CD85CFA76C%7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jm.com/committees-and-groups/issue-tracking/issue-tracking-details.aspx?Issue=%7bE2CF01C5-2504-49D7-8B1A-66B867BBA081%7d" TargetMode="External"/><Relationship Id="rId23" Type="http://schemas.openxmlformats.org/officeDocument/2006/relationships/hyperlink" Target="https://www.pjm.com/committees-and-groups/issue-tracking/issue-tracking-details.aspx?Issue=%7b4BF207D3-30CB-45F4-8C77-D2FA4165F25A%7d" TargetMode="External"/><Relationship Id="rId28" Type="http://schemas.openxmlformats.org/officeDocument/2006/relationships/hyperlink" Target="https://learn.pjm.com/" TargetMode="External"/><Relationship Id="rId10" Type="http://schemas.openxmlformats.org/officeDocument/2006/relationships/hyperlink" Target="https://www.pjm.com/committees-and-groups/issue-tracking/issue-tracking-details.aspx?Issue=%7b6DECC213-EC91-4CCF-B75C-3BE72FE0D347%7d" TargetMode="External"/><Relationship Id="rId19" Type="http://schemas.openxmlformats.org/officeDocument/2006/relationships/hyperlink" Target="https://www.pjm.com/committees-and-groups/issue-tracking/issue-tracking-details.aspx?Issue=%7b83FCE36D-AF05-4ED7-8231-EE8F41C74E0C%7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jm.com/committees-and-groups/issue-tracking/issue-tracking-details.aspx?Issue=%7b867315DA-0DED-4A9A-B571-DE4B2C8BF80E%7d" TargetMode="External"/><Relationship Id="rId14" Type="http://schemas.openxmlformats.org/officeDocument/2006/relationships/hyperlink" Target="https://www.pjm.com/committees-and-groups/issue-tracking/issue-tracking-details.aspx?Issue=%7b29759A0E-9052-4648-80F8-C5E1E1E2DD25%7d" TargetMode="External"/><Relationship Id="rId22" Type="http://schemas.openxmlformats.org/officeDocument/2006/relationships/hyperlink" Target="https://www.pjm.com/committees-and-groups/issue-tracking/issue-tracking-details.aspx?Issue=%7b7E7D0EEA-3887-4F41-B58D-4EFA8B853488%7d" TargetMode="External"/><Relationship Id="rId27" Type="http://schemas.openxmlformats.org/officeDocument/2006/relationships/image" Target="media/image2.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566D-8EF5-4257-8043-C0CA4567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441</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35</cp:revision>
  <cp:lastPrinted>2020-02-11T19:49:00Z</cp:lastPrinted>
  <dcterms:created xsi:type="dcterms:W3CDTF">2020-02-03T18:02:00Z</dcterms:created>
  <dcterms:modified xsi:type="dcterms:W3CDTF">2020-02-12T22:04:00Z</dcterms:modified>
</cp:coreProperties>
</file>