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7B169150">
      <w:pPr>
        <w:pStyle w:val="MeetingDetails"/>
      </w:pPr>
      <w:r>
        <w:t xml:space="preserve">Special </w:t>
      </w:r>
      <w:r w:rsidR="000F0329">
        <w:t>M</w:t>
      </w:r>
      <w:r w:rsidR="00856F93">
        <w:t xml:space="preserve">embers Committee </w:t>
      </w:r>
      <w:r>
        <w:t>– Must Offer / MSOC</w:t>
      </w:r>
    </w:p>
    <w:p w:rsidR="00C37FC7" w:rsidRPr="00B62597" w:rsidP="00C37FC7" w14:paraId="72804709" w14:textId="4C0D0247">
      <w:pPr>
        <w:pStyle w:val="MeetingDetails"/>
      </w:pPr>
      <w:r>
        <w:t xml:space="preserve">Two Hundred </w:t>
      </w:r>
      <w:r w:rsidR="00D426D4">
        <w:t>Fifty-</w:t>
      </w:r>
      <w:r w:rsidR="00824D57">
        <w:t>nin</w:t>
      </w:r>
      <w:r w:rsidR="00C14B8D">
        <w:t>th</w:t>
      </w:r>
      <w:r w:rsidR="00252C70">
        <w:t xml:space="preserve"> </w:t>
      </w:r>
      <w:r>
        <w:t xml:space="preserve">Meeting </w:t>
      </w:r>
    </w:p>
    <w:p w:rsidR="00B62597" w:rsidRPr="00B62597" w:rsidP="00755096" w14:paraId="3E321782" w14:textId="31489A92">
      <w:pPr>
        <w:pStyle w:val="MeetingDetails"/>
      </w:pPr>
      <w:r>
        <w:t>WebEx and Teleconference Only</w:t>
      </w:r>
      <w:r w:rsidR="00C37FC7">
        <w:tab/>
      </w:r>
    </w:p>
    <w:p w:rsidR="00B62597" w:rsidRPr="00B62597" w:rsidP="00755096" w14:paraId="22BCBE27" w14:textId="643D439F">
      <w:pPr>
        <w:pStyle w:val="MeetingDetails"/>
      </w:pPr>
      <w:r>
        <w:t>December 13</w:t>
      </w:r>
      <w:r w:rsidR="002B2F98">
        <w:t xml:space="preserve">, </w:t>
      </w:r>
      <w:r w:rsidR="002F6131">
        <w:t>2024</w:t>
      </w:r>
    </w:p>
    <w:p w:rsidR="00B62597" w:rsidRPr="00671C0C" w:rsidP="00755096" w14:paraId="3DD7B589" w14:textId="66CD146C">
      <w:pPr>
        <w:pStyle w:val="MeetingDetails"/>
        <w:rPr>
          <w:sz w:val="28"/>
          <w:u w:val="single"/>
        </w:rPr>
      </w:pPr>
      <w:r>
        <w:t>9</w:t>
      </w:r>
      <w:r w:rsidR="00726C6C">
        <w:t>:0</w:t>
      </w:r>
      <w:r w:rsidR="0001145C">
        <w:t>0</w:t>
      </w:r>
      <w:r w:rsidRPr="00671C0C" w:rsidR="00856F93">
        <w:t xml:space="preserve"> </w:t>
      </w:r>
      <w:r w:rsidR="00C14B8D">
        <w:t>a</w:t>
      </w:r>
      <w:r w:rsidRPr="00671C0C" w:rsidR="00755096">
        <w:t>.m.</w:t>
      </w:r>
      <w:r w:rsidRPr="00671C0C" w:rsidR="00010057">
        <w:t xml:space="preserve"> </w:t>
      </w:r>
      <w:r w:rsidRPr="00671C0C" w:rsidR="009B52F9">
        <w:t xml:space="preserve">– </w:t>
      </w:r>
      <w:r>
        <w:t>12</w:t>
      </w:r>
      <w:r w:rsidRPr="00671C0C" w:rsidR="009B52F9">
        <w:t xml:space="preserve">:00 p.m. </w:t>
      </w:r>
      <w:r w:rsidRPr="00671C0C"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671C0C" w:rsidP="007C2954" w14:paraId="4377DA0D" w14:textId="260647BE">
      <w:pPr>
        <w:pStyle w:val="PrimaryHeading"/>
        <w:rPr>
          <w:caps/>
        </w:rPr>
      </w:pPr>
      <w:bookmarkStart w:id="0" w:name="OLE_LINK5"/>
      <w:bookmarkStart w:id="1" w:name="OLE_LINK3"/>
      <w:r w:rsidRPr="00671C0C">
        <w:t>Administration (</w:t>
      </w:r>
      <w:r w:rsidR="00824D57">
        <w:t>9</w:t>
      </w:r>
      <w:r w:rsidR="00726C6C">
        <w:t>:00-</w:t>
      </w:r>
      <w:r w:rsidR="00824D57">
        <w:t>9</w:t>
      </w:r>
      <w:r w:rsidR="00726C6C">
        <w:t>:05</w:t>
      </w:r>
      <w:r w:rsidRPr="00671C0C" w:rsidR="00856F93">
        <w:t>)</w:t>
      </w:r>
    </w:p>
    <w:bookmarkEnd w:id="0"/>
    <w:bookmarkEnd w:id="1"/>
    <w:p w:rsidR="00C37FC7" w:rsidRPr="00C37FC7" w:rsidP="00824D57" w14:paraId="3EFE9327" w14:textId="77777777">
      <w:pPr>
        <w:pStyle w:val="ListSubhead1"/>
        <w:numPr>
          <w:ilvl w:val="0"/>
          <w:numId w:val="14"/>
        </w:numPr>
        <w:spacing w:after="120"/>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15820" w:rsidRPr="00C15820" w:rsidP="00C15820" w14:paraId="5FFA6943" w14:textId="6DDF66FB">
      <w:pPr>
        <w:pStyle w:val="PrimaryHeading"/>
      </w:pPr>
      <w:r>
        <w:t>PJM Consultation with the Members Committee</w:t>
      </w:r>
      <w:r>
        <w:t xml:space="preserve"> </w:t>
      </w:r>
      <w:r w:rsidR="003F1615">
        <w:t>(</w:t>
      </w:r>
      <w:r w:rsidR="00824D57">
        <w:t>9</w:t>
      </w:r>
      <w:r w:rsidR="002D31AA">
        <w:t>:</w:t>
      </w:r>
      <w:r w:rsidR="00824D57">
        <w:t>0</w:t>
      </w:r>
      <w:r w:rsidR="002D31AA">
        <w:t>5-</w:t>
      </w:r>
      <w:r w:rsidR="00824D57">
        <w:t>11</w:t>
      </w:r>
      <w:r w:rsidR="00400BDA">
        <w:t>:5</w:t>
      </w:r>
      <w:r w:rsidR="00824D57">
        <w:t>5</w:t>
      </w:r>
      <w:r>
        <w:t xml:space="preserve">) </w:t>
      </w:r>
    </w:p>
    <w:p w:rsidR="00C15820" w:rsidRPr="002D31AA" w:rsidP="00824D57" w14:paraId="3F8B56EB" w14:textId="54C2C888">
      <w:pPr>
        <w:pStyle w:val="SecondaryHeading-Numbered"/>
        <w:numPr>
          <w:ilvl w:val="0"/>
          <w:numId w:val="16"/>
        </w:numPr>
        <w:spacing w:after="120"/>
        <w:rPr>
          <w:b w:val="0"/>
          <w:u w:val="single"/>
        </w:rPr>
      </w:pPr>
      <w:r w:rsidRPr="00824D57">
        <w:rPr>
          <w:b w:val="0"/>
          <w:u w:val="single"/>
        </w:rPr>
        <w:t>PJM Notice of Consultation with the Members Committee pursuant to Tariff Section 9.2(b) and Transmission Owners pursuant to CTOA Section 7.5.1(ii) – Proposed Tariff Revisions Regarding the PJM Capacity Market</w:t>
      </w:r>
    </w:p>
    <w:p w:rsidR="00C15820" w:rsidRPr="00824D57" w:rsidP="00824D57" w14:paraId="3263A6DB" w14:textId="71A3EA39">
      <w:pPr>
        <w:spacing w:after="120" w:line="240" w:lineRule="auto"/>
        <w:ind w:left="360"/>
        <w:rPr>
          <w:rFonts w:ascii="Arial Narrow" w:eastAsia="Times New Roman" w:hAnsi="Arial Narrow" w:cs="Times New Roman"/>
          <w:sz w:val="24"/>
        </w:rPr>
      </w:pPr>
      <w:r w:rsidRPr="00824D57">
        <w:rPr>
          <w:rFonts w:ascii="Arial Narrow" w:eastAsia="Times New Roman" w:hAnsi="Arial Narrow" w:cs="Times New Roman"/>
          <w:sz w:val="24"/>
        </w:rPr>
        <w:t xml:space="preserve">Adam Keech will review </w:t>
      </w:r>
      <w:r w:rsidR="00824D57">
        <w:rPr>
          <w:rFonts w:ascii="Arial Narrow" w:eastAsia="Times New Roman" w:hAnsi="Arial Narrow" w:cs="Times New Roman"/>
          <w:sz w:val="24"/>
        </w:rPr>
        <w:t>p</w:t>
      </w:r>
      <w:r w:rsidRPr="00824D57">
        <w:rPr>
          <w:rFonts w:ascii="Arial Narrow" w:eastAsia="Times New Roman" w:hAnsi="Arial Narrow" w:cs="Times New Roman"/>
          <w:sz w:val="24"/>
        </w:rPr>
        <w:t xml:space="preserve">roposed </w:t>
      </w:r>
      <w:r w:rsidR="00824D57">
        <w:rPr>
          <w:rFonts w:ascii="Arial Narrow" w:eastAsia="Times New Roman" w:hAnsi="Arial Narrow" w:cs="Times New Roman"/>
          <w:sz w:val="24"/>
        </w:rPr>
        <w:t xml:space="preserve">Tariff revisions regarding </w:t>
      </w:r>
      <w:r w:rsidR="00E67542">
        <w:rPr>
          <w:rFonts w:ascii="Arial Narrow" w:eastAsia="Times New Roman" w:hAnsi="Arial Narrow" w:cs="Times New Roman"/>
          <w:sz w:val="24"/>
        </w:rPr>
        <w:t>Capacity M</w:t>
      </w:r>
      <w:r w:rsidRPr="00824D57">
        <w:rPr>
          <w:rFonts w:ascii="Arial Narrow" w:eastAsia="Times New Roman" w:hAnsi="Arial Narrow" w:cs="Times New Roman"/>
          <w:sz w:val="24"/>
        </w:rPr>
        <w:t xml:space="preserve">arket </w:t>
      </w:r>
      <w:r w:rsidR="00824D57">
        <w:rPr>
          <w:rFonts w:ascii="Arial Narrow" w:eastAsia="Times New Roman" w:hAnsi="Arial Narrow" w:cs="Times New Roman"/>
          <w:sz w:val="24"/>
        </w:rPr>
        <w:t>Must Offer and Market Seller Offer Cap provisions</w:t>
      </w:r>
      <w:r w:rsidRPr="00824D57">
        <w:rPr>
          <w:rFonts w:ascii="Arial Narrow" w:eastAsia="Times New Roman" w:hAnsi="Arial Narrow" w:cs="Times New Roman"/>
          <w:sz w:val="24"/>
        </w:rPr>
        <w:t>.</w:t>
      </w:r>
      <w:bookmarkStart w:id="2" w:name="_GoBack"/>
      <w:bookmarkEnd w:id="2"/>
      <w:r w:rsidRPr="00824D57" w:rsidR="000D112C">
        <w:rPr>
          <w:rFonts w:ascii="Arial Narrow" w:eastAsia="Times New Roman" w:hAnsi="Arial Narrow" w:cs="Times New Roman"/>
          <w:sz w:val="24"/>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0F0329" w:rsidP="00824D57" w14:paraId="05A019FE" w14:textId="6B97465C">
            <w:pPr>
              <w:pStyle w:val="PrimaryHeading"/>
              <w:spacing w:after="0"/>
              <w:rPr>
                <w:b/>
              </w:rPr>
            </w:pPr>
            <w:r w:rsidRPr="0095194C">
              <w:rPr>
                <w:b/>
              </w:rPr>
              <w:t xml:space="preserve">Future Agenda </w:t>
            </w:r>
            <w:r w:rsidRPr="0077361A">
              <w:rPr>
                <w:b/>
              </w:rPr>
              <w:t>Items (</w:t>
            </w:r>
            <w:r w:rsidR="00824D57">
              <w:rPr>
                <w:b/>
              </w:rPr>
              <w:t>11</w:t>
            </w:r>
            <w:r w:rsidR="003F1615">
              <w:rPr>
                <w:b/>
              </w:rPr>
              <w:t>:</w:t>
            </w:r>
            <w:r w:rsidR="002F0483">
              <w:rPr>
                <w:b/>
              </w:rPr>
              <w:t>5</w:t>
            </w:r>
            <w:r w:rsidR="00824D57">
              <w:rPr>
                <w:b/>
              </w:rPr>
              <w:t>5</w:t>
            </w:r>
            <w:r w:rsidRPr="0077361A">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52C70" w:rsidP="009D7613" w14:paraId="11C8BC0D" w14:textId="20F26D03">
            <w:pPr>
              <w:pStyle w:val="AttendeesList"/>
            </w:pPr>
          </w:p>
          <w:p w:rsidR="003A279F" w:rsidP="009D7613" w14:paraId="32609AF7" w14:textId="77777777">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785"/>
        <w:gridCol w:w="12"/>
        <w:gridCol w:w="1592"/>
      </w:tblGrid>
      <w:tr w14:paraId="7A18697A" w14:textId="77777777" w:rsidTr="001B3857">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92"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1B3857">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92"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1B3857">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89"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34474A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gridSpan w:val="2"/>
            <w:tcBorders>
              <w:top w:val="single" w:sz="4" w:space="0" w:color="auto"/>
              <w:left w:val="single" w:sz="4" w:space="0" w:color="auto"/>
              <w:bottom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r w14:paraId="78595BDE"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2D758326" w14:textId="77777777">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0352186" w14:textId="63A183F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153C78D"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61B5D10" w14:textId="77777777">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2CE1DC8" w14:textId="77777777">
            <w:pPr>
              <w:pStyle w:val="DisclaimerHeading"/>
              <w:spacing w:before="40" w:after="40" w:line="220" w:lineRule="exact"/>
              <w:jc w:val="center"/>
              <w:rPr>
                <w:b w:val="0"/>
                <w:color w:val="auto"/>
                <w:sz w:val="18"/>
                <w:szCs w:val="18"/>
              </w:rPr>
            </w:pPr>
            <w:r>
              <w:rPr>
                <w:b w:val="0"/>
                <w:color w:val="auto"/>
                <w:sz w:val="18"/>
                <w:szCs w:val="18"/>
              </w:rPr>
              <w:t>January 16, 2025</w:t>
            </w:r>
          </w:p>
        </w:tc>
      </w:tr>
      <w:tr w14:paraId="31EA9FBC"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726482A" w14:textId="77777777">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2AB381E" w14:textId="3AF09F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RPr="00A64108" w:rsidP="006D7D8A" w14:paraId="6D94ADF6"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BE2B91D" w14:textId="77777777">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3E48C64" w14:textId="77777777">
            <w:pPr>
              <w:pStyle w:val="DisclaimerHeading"/>
              <w:spacing w:before="40" w:after="40" w:line="220" w:lineRule="exact"/>
              <w:jc w:val="center"/>
              <w:rPr>
                <w:b w:val="0"/>
                <w:color w:val="auto"/>
                <w:sz w:val="18"/>
                <w:szCs w:val="18"/>
              </w:rPr>
            </w:pPr>
            <w:r>
              <w:rPr>
                <w:b w:val="0"/>
                <w:color w:val="auto"/>
                <w:sz w:val="18"/>
                <w:szCs w:val="18"/>
              </w:rPr>
              <w:t>February 13, 2025</w:t>
            </w:r>
          </w:p>
        </w:tc>
      </w:tr>
      <w:tr w14:paraId="4AE7B87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10FECD1C" w14:textId="77777777">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A0F6E89" w14:textId="0EDE20F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D103C8F"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52F01C08" w14:textId="77777777">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60702FD4" w14:textId="77777777">
            <w:pPr>
              <w:pStyle w:val="DisclaimerHeading"/>
              <w:spacing w:before="40" w:after="40" w:line="220" w:lineRule="exact"/>
              <w:jc w:val="center"/>
              <w:rPr>
                <w:b w:val="0"/>
                <w:color w:val="auto"/>
                <w:sz w:val="18"/>
                <w:szCs w:val="18"/>
              </w:rPr>
            </w:pPr>
            <w:r>
              <w:rPr>
                <w:b w:val="0"/>
                <w:color w:val="auto"/>
                <w:sz w:val="18"/>
                <w:szCs w:val="18"/>
              </w:rPr>
              <w:t>March 12, 2025</w:t>
            </w:r>
          </w:p>
        </w:tc>
      </w:tr>
      <w:tr w14:paraId="76DE645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369BE4DA" w14:textId="77777777">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5A74734" w14:textId="6A94188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D635EB8"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835A7F6" w14:textId="77777777">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3D797085" w14:textId="77777777">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75D3A9FB"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CBD8A58" w14:textId="6F92D936">
            <w:pPr>
              <w:pStyle w:val="DisclaimerHeading"/>
              <w:spacing w:before="40" w:after="40" w:line="220" w:lineRule="exact"/>
              <w:rPr>
                <w:bCs/>
                <w:sz w:val="18"/>
                <w:szCs w:val="18"/>
              </w:rPr>
            </w:pPr>
            <w:r>
              <w:rPr>
                <w:bCs/>
                <w:sz w:val="18"/>
                <w:szCs w:val="18"/>
              </w:rPr>
              <w:t>May 12,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E71394C" w14:textId="1848ABDC">
            <w:pPr>
              <w:pStyle w:val="DisclaimerHeading"/>
              <w:spacing w:before="40" w:after="40" w:line="220" w:lineRule="exact"/>
              <w:rPr>
                <w:b w:val="0"/>
                <w:color w:val="auto"/>
                <w:sz w:val="18"/>
                <w:szCs w:val="18"/>
              </w:rPr>
            </w:pPr>
            <w:r>
              <w:rPr>
                <w:b w:val="0"/>
                <w:color w:val="auto"/>
                <w:sz w:val="18"/>
                <w:szCs w:val="18"/>
              </w:rPr>
              <w:t>1:00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78AFDE97" w14:textId="159B905E">
            <w:pPr>
              <w:pStyle w:val="DisclaimerHeading"/>
              <w:spacing w:before="40" w:after="40" w:line="220" w:lineRule="exact"/>
              <w:rPr>
                <w:b w:val="0"/>
                <w:color w:val="auto"/>
                <w:sz w:val="18"/>
                <w:szCs w:val="18"/>
              </w:rPr>
            </w:pPr>
            <w:r w:rsidRPr="001B3857">
              <w:rPr>
                <w:b w:val="0"/>
                <w:color w:val="auto"/>
                <w:sz w:val="18"/>
                <w:szCs w:val="18"/>
              </w:rPr>
              <w:t>Lansdowne Resort, Leesburg, VA and</w:t>
            </w:r>
            <w:r>
              <w:rPr>
                <w:color w:val="1F4E79"/>
                <w:sz w:val="24"/>
                <w:szCs w:val="24"/>
              </w:rPr>
              <w:t xml:space="preserve"> </w:t>
            </w:r>
            <w:r>
              <w:rPr>
                <w:b w:val="0"/>
                <w:color w:val="auto"/>
                <w:sz w:val="18"/>
                <w:szCs w:val="18"/>
              </w:rPr>
              <w:t>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0DFB39B9" w14:textId="057AF3D5">
            <w:pPr>
              <w:pStyle w:val="DisclaimerHeading"/>
              <w:spacing w:before="40" w:after="40" w:line="220" w:lineRule="exact"/>
              <w:jc w:val="center"/>
              <w:rPr>
                <w:b w:val="0"/>
                <w:color w:val="auto"/>
                <w:sz w:val="18"/>
                <w:szCs w:val="18"/>
              </w:rPr>
            </w:pPr>
            <w:r>
              <w:rPr>
                <w:b w:val="0"/>
                <w:color w:val="auto"/>
                <w:sz w:val="18"/>
                <w:szCs w:val="18"/>
              </w:rPr>
              <w:t>April 30,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79E23336" w14:textId="3686582A">
            <w:pPr>
              <w:pStyle w:val="DisclaimerHeading"/>
              <w:spacing w:before="40" w:after="40" w:line="220" w:lineRule="exact"/>
              <w:jc w:val="center"/>
              <w:rPr>
                <w:b w:val="0"/>
                <w:color w:val="auto"/>
                <w:sz w:val="18"/>
                <w:szCs w:val="18"/>
              </w:rPr>
            </w:pPr>
            <w:r>
              <w:rPr>
                <w:b w:val="0"/>
                <w:color w:val="auto"/>
                <w:sz w:val="18"/>
                <w:szCs w:val="18"/>
              </w:rPr>
              <w:t>May 5, 2025</w:t>
            </w:r>
          </w:p>
        </w:tc>
      </w:tr>
      <w:tr w14:paraId="2356D923"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42CFCB1" w14:textId="77777777">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CE6EB8A" w14:textId="5462754F">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21E6F3C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34233A04" w14:textId="77777777">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67576AE" w14:textId="77777777">
            <w:pPr>
              <w:pStyle w:val="DisclaimerHeading"/>
              <w:spacing w:before="40" w:after="40" w:line="220" w:lineRule="exact"/>
              <w:jc w:val="center"/>
              <w:rPr>
                <w:b w:val="0"/>
                <w:color w:val="auto"/>
                <w:sz w:val="18"/>
                <w:szCs w:val="18"/>
              </w:rPr>
            </w:pPr>
            <w:r>
              <w:rPr>
                <w:b w:val="0"/>
                <w:color w:val="auto"/>
                <w:sz w:val="18"/>
                <w:szCs w:val="18"/>
              </w:rPr>
              <w:t>June 11, 2025</w:t>
            </w:r>
          </w:p>
        </w:tc>
      </w:tr>
      <w:tr w14:paraId="6145898D"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55D4EB15" w14:textId="77777777">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644B5686" w14:textId="5C1E9353">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94340FA"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42078AE" w14:textId="77777777">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CC29E73" w14:textId="77777777">
            <w:pPr>
              <w:pStyle w:val="DisclaimerHeading"/>
              <w:spacing w:before="40" w:after="40" w:line="220" w:lineRule="exact"/>
              <w:jc w:val="center"/>
              <w:rPr>
                <w:b w:val="0"/>
                <w:color w:val="auto"/>
                <w:sz w:val="18"/>
                <w:szCs w:val="18"/>
              </w:rPr>
            </w:pPr>
            <w:r>
              <w:rPr>
                <w:b w:val="0"/>
                <w:color w:val="auto"/>
                <w:sz w:val="18"/>
                <w:szCs w:val="18"/>
              </w:rPr>
              <w:t>July 16, 2025</w:t>
            </w:r>
          </w:p>
        </w:tc>
      </w:tr>
      <w:tr w14:paraId="0AC2EB3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3BAD604" w14:textId="77777777">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71B13197" w14:textId="4C80BB3D">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35C85B67"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62674779" w14:textId="77777777">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2DCA9E" w14:textId="77777777">
            <w:pPr>
              <w:pStyle w:val="DisclaimerHeading"/>
              <w:spacing w:before="40" w:after="40" w:line="220" w:lineRule="exact"/>
              <w:jc w:val="center"/>
              <w:rPr>
                <w:b w:val="0"/>
                <w:color w:val="auto"/>
                <w:sz w:val="18"/>
                <w:szCs w:val="18"/>
              </w:rPr>
            </w:pPr>
            <w:r>
              <w:rPr>
                <w:b w:val="0"/>
                <w:color w:val="auto"/>
                <w:sz w:val="18"/>
                <w:szCs w:val="18"/>
              </w:rPr>
              <w:t>August 13, 2025</w:t>
            </w:r>
          </w:p>
        </w:tc>
      </w:tr>
      <w:tr w14:paraId="6276337F"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72C55777" w14:textId="7777777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17B977EE" w14:textId="5907A654">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13A9723"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7FC503F6" w14:textId="77777777">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4435E3EF" w14:textId="77777777">
            <w:pPr>
              <w:pStyle w:val="DisclaimerHeading"/>
              <w:spacing w:before="40" w:after="40" w:line="220" w:lineRule="exact"/>
              <w:jc w:val="center"/>
              <w:rPr>
                <w:b w:val="0"/>
                <w:color w:val="auto"/>
                <w:sz w:val="18"/>
                <w:szCs w:val="18"/>
              </w:rPr>
            </w:pPr>
            <w:r>
              <w:rPr>
                <w:b w:val="0"/>
                <w:color w:val="auto"/>
                <w:sz w:val="18"/>
                <w:szCs w:val="18"/>
              </w:rPr>
              <w:t>September 24, 2025</w:t>
            </w:r>
          </w:p>
        </w:tc>
      </w:tr>
      <w:tr w14:paraId="2A9F66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6BA269A6" w14:textId="77777777">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50BBEF54" w14:textId="2524F10B">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54D94441"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E1C4A2E" w14:textId="77777777">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0E569504" w14:textId="77777777">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76A8D5D0" w14:textId="77777777" w:rsidTr="001B3857">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6D7D8A" w:rsidP="006D7D8A" w14:paraId="4038016B" w14:textId="77777777">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6D7D8A" w:rsidP="006D7D8A" w14:paraId="3F9B4721" w14:textId="531717FC">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bottom w:val="single" w:sz="4" w:space="0" w:color="auto"/>
              <w:right w:val="single" w:sz="4" w:space="0" w:color="auto"/>
            </w:tcBorders>
          </w:tcPr>
          <w:p w:rsidR="006D7D8A" w:rsidP="006D7D8A" w14:paraId="43048DFC"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bottom w:val="single" w:sz="4" w:space="0" w:color="auto"/>
              <w:right w:val="single" w:sz="4" w:space="0" w:color="auto"/>
            </w:tcBorders>
          </w:tcPr>
          <w:p w:rsidR="006D7D8A" w:rsidP="006D7D8A" w14:paraId="20C7E3F3" w14:textId="77777777">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gridSpan w:val="2"/>
            <w:tcBorders>
              <w:top w:val="single" w:sz="4" w:space="0" w:color="auto"/>
              <w:left w:val="single" w:sz="4" w:space="0" w:color="auto"/>
              <w:bottom w:val="single" w:sz="4" w:space="0" w:color="auto"/>
              <w:right w:val="single" w:sz="4" w:space="0" w:color="auto"/>
            </w:tcBorders>
          </w:tcPr>
          <w:p w:rsidR="006D7D8A" w:rsidP="006D7D8A" w14:paraId="2F80AE3B" w14:textId="77777777">
            <w:pPr>
              <w:pStyle w:val="DisclaimerHeading"/>
              <w:spacing w:before="40" w:after="40" w:line="220" w:lineRule="exact"/>
              <w:jc w:val="center"/>
              <w:rPr>
                <w:b w:val="0"/>
                <w:color w:val="auto"/>
                <w:sz w:val="18"/>
                <w:szCs w:val="18"/>
              </w:rPr>
            </w:pPr>
            <w:r>
              <w:rPr>
                <w:b w:val="0"/>
                <w:color w:val="auto"/>
                <w:sz w:val="18"/>
                <w:szCs w:val="18"/>
              </w:rPr>
              <w:t>November 13, 2025</w:t>
            </w:r>
          </w:p>
        </w:tc>
      </w:tr>
      <w:tr w14:paraId="6E56888A" w14:textId="77777777" w:rsidTr="001B3857">
        <w:tblPrEx>
          <w:tblW w:w="9360" w:type="dxa"/>
          <w:tblLook w:val="04A0"/>
        </w:tblPrEx>
        <w:trPr>
          <w:trHeight w:val="331"/>
        </w:trPr>
        <w:tc>
          <w:tcPr>
            <w:tcW w:w="1620" w:type="dxa"/>
            <w:tcBorders>
              <w:top w:val="single" w:sz="4" w:space="0" w:color="auto"/>
              <w:right w:val="single" w:sz="4" w:space="0" w:color="auto"/>
            </w:tcBorders>
            <w:shd w:val="clear" w:color="auto" w:fill="E1F6FF"/>
          </w:tcPr>
          <w:p w:rsidR="006D7D8A" w:rsidP="006D7D8A" w14:paraId="461F783C" w14:textId="77777777">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6D7D8A" w:rsidP="006D7D8A" w14:paraId="40547063" w14:textId="74332540">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4" w:space="0" w:color="auto"/>
              <w:right w:val="single" w:sz="4" w:space="0" w:color="auto"/>
            </w:tcBorders>
          </w:tcPr>
          <w:p w:rsidR="006D7D8A" w:rsidP="006D7D8A" w14:paraId="02685099" w14:textId="7777777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785" w:type="dxa"/>
            <w:tcBorders>
              <w:top w:val="single" w:sz="4" w:space="0" w:color="auto"/>
              <w:left w:val="single" w:sz="4" w:space="0" w:color="auto"/>
              <w:right w:val="single" w:sz="4" w:space="0" w:color="auto"/>
            </w:tcBorders>
          </w:tcPr>
          <w:p w:rsidR="006D7D8A" w:rsidP="006D7D8A" w14:paraId="76E8ADC2" w14:textId="77777777">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gridSpan w:val="2"/>
            <w:tcBorders>
              <w:top w:val="single" w:sz="4" w:space="0" w:color="auto"/>
              <w:left w:val="single" w:sz="4" w:space="0" w:color="auto"/>
              <w:right w:val="single" w:sz="4" w:space="0" w:color="auto"/>
            </w:tcBorders>
          </w:tcPr>
          <w:p w:rsidR="006D7D8A" w:rsidP="006D7D8A" w14:paraId="575EE3D0" w14:textId="77777777">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2E9CE3C7" w14:textId="3EC4945D">
      <w:pPr>
        <w:pStyle w:val="Author"/>
      </w:pPr>
      <w:r>
        <w:t xml:space="preserve">Author: </w:t>
      </w:r>
      <w:r w:rsidR="00824D57">
        <w:t>D. Anders</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Participant Use of Webex Chat:</w:t>
      </w:r>
    </w:p>
    <w:p w:rsidR="00D827A6" w:rsidP="00D827A6" w14:paraId="673DDE47"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6EFC96B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230BA">
      <w:rPr>
        <w:rStyle w:val="PageNumber"/>
        <w:noProof/>
      </w:rPr>
      <w:t>2</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17E87B9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230BA">
      <w:t>December 6</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4CC5A8C"/>
    <w:multiLevelType w:val="hybridMultilevel"/>
    <w:tmpl w:val="FC3C10DE"/>
    <w:lvl w:ilvl="0">
      <w:start w:val="1"/>
      <w:numFmt w:val="decimal"/>
      <w:lvlText w:val="%1."/>
      <w:lvlJc w:val="left"/>
      <w:pPr>
        <w:ind w:left="360" w:hanging="360"/>
      </w:pPr>
      <w:rPr>
        <w:rFonts w:hint="default"/>
        <w:b w:val="0"/>
      </w:r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8F96B95"/>
    <w:multiLevelType w:val="hybridMultilevel"/>
    <w:tmpl w:val="25962E3E"/>
    <w:lvl w:ilvl="0">
      <w:start w:val="1"/>
      <w:numFmt w:val="decimal"/>
      <w:lvlText w:val="%1."/>
      <w:lvlJc w:val="left"/>
      <w:pPr>
        <w:ind w:left="144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C364BF"/>
    <w:multiLevelType w:val="hybridMultilevel"/>
    <w:tmpl w:val="5E44EE74"/>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FF4CA7"/>
    <w:multiLevelType w:val="hybridMultilevel"/>
    <w:tmpl w:val="E94CBF08"/>
    <w:lvl w:ilvl="0">
      <w:start w:val="1"/>
      <w:numFmt w:val="upperLetter"/>
      <w:lvlText w:val="%1."/>
      <w:lvlJc w:val="left"/>
      <w:pPr>
        <w:ind w:left="720" w:hanging="360"/>
      </w:pPr>
    </w:lvl>
    <w:lvl w:ilvl="1">
      <w:start w:val="1"/>
      <w:numFmt w:val="decimal"/>
      <w:lvlText w:val="%2."/>
      <w:lvlJc w:val="left"/>
      <w:pPr>
        <w:ind w:left="1440" w:hanging="360"/>
      </w:pPr>
      <w:rPr>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6">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0"/>
  </w:num>
  <w:num w:numId="9">
    <w:abstractNumId w:val="7"/>
  </w:num>
  <w:num w:numId="10">
    <w:abstractNumId w:val="0"/>
  </w:num>
  <w:num w:numId="11">
    <w:abstractNumId w:val="9"/>
  </w:num>
  <w:num w:numId="12">
    <w:abstractNumId w:val="3"/>
  </w:num>
  <w:num w:numId="13">
    <w:abstractNumId w:val="6"/>
  </w:num>
  <w:num w:numId="14">
    <w:abstractNumId w:val="12"/>
  </w:num>
  <w:num w:numId="15">
    <w:abstractNumId w:val="19"/>
  </w:num>
  <w:num w:numId="16">
    <w:abstractNumId w:val="18"/>
  </w:num>
  <w:num w:numId="17">
    <w:abstractNumId w:val="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8"/>
  </w:num>
  <w:num w:numId="23">
    <w:abstractNumId w:val="14"/>
  </w:num>
  <w:num w:numId="24">
    <w:abstractNumId w:val="13"/>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1145C"/>
    <w:rsid w:val="000232DF"/>
    <w:rsid w:val="00027F49"/>
    <w:rsid w:val="000333FF"/>
    <w:rsid w:val="000538D7"/>
    <w:rsid w:val="0006798D"/>
    <w:rsid w:val="000773C7"/>
    <w:rsid w:val="00090CAD"/>
    <w:rsid w:val="00092135"/>
    <w:rsid w:val="00096230"/>
    <w:rsid w:val="000D112C"/>
    <w:rsid w:val="000D4FD9"/>
    <w:rsid w:val="000E1B39"/>
    <w:rsid w:val="000F0329"/>
    <w:rsid w:val="00112698"/>
    <w:rsid w:val="00117AF9"/>
    <w:rsid w:val="00121F58"/>
    <w:rsid w:val="00135B6F"/>
    <w:rsid w:val="00150DBB"/>
    <w:rsid w:val="001678E8"/>
    <w:rsid w:val="00170E02"/>
    <w:rsid w:val="00196478"/>
    <w:rsid w:val="001B2242"/>
    <w:rsid w:val="001B3857"/>
    <w:rsid w:val="001C0CC0"/>
    <w:rsid w:val="001C151C"/>
    <w:rsid w:val="001D3B68"/>
    <w:rsid w:val="001F510D"/>
    <w:rsid w:val="00200A1B"/>
    <w:rsid w:val="002113BD"/>
    <w:rsid w:val="00250340"/>
    <w:rsid w:val="0025139E"/>
    <w:rsid w:val="00252C70"/>
    <w:rsid w:val="002560EA"/>
    <w:rsid w:val="00261960"/>
    <w:rsid w:val="002761D8"/>
    <w:rsid w:val="002B2CB6"/>
    <w:rsid w:val="002B2F98"/>
    <w:rsid w:val="002C330D"/>
    <w:rsid w:val="002C6057"/>
    <w:rsid w:val="002D31AA"/>
    <w:rsid w:val="002F0483"/>
    <w:rsid w:val="002F6131"/>
    <w:rsid w:val="00303C76"/>
    <w:rsid w:val="00305238"/>
    <w:rsid w:val="003251CE"/>
    <w:rsid w:val="003351D9"/>
    <w:rsid w:val="00335BB1"/>
    <w:rsid w:val="00337321"/>
    <w:rsid w:val="0035225C"/>
    <w:rsid w:val="00366F4B"/>
    <w:rsid w:val="003814A7"/>
    <w:rsid w:val="003851DA"/>
    <w:rsid w:val="00394850"/>
    <w:rsid w:val="003A279F"/>
    <w:rsid w:val="003B55E1"/>
    <w:rsid w:val="003C17E2"/>
    <w:rsid w:val="003C1CD0"/>
    <w:rsid w:val="003C3320"/>
    <w:rsid w:val="003D3465"/>
    <w:rsid w:val="003D6A58"/>
    <w:rsid w:val="003D7E5C"/>
    <w:rsid w:val="003E7A73"/>
    <w:rsid w:val="003F046E"/>
    <w:rsid w:val="003F1615"/>
    <w:rsid w:val="004008C9"/>
    <w:rsid w:val="00400BDA"/>
    <w:rsid w:val="00415FB7"/>
    <w:rsid w:val="004230BA"/>
    <w:rsid w:val="00434B35"/>
    <w:rsid w:val="00437F26"/>
    <w:rsid w:val="004455F7"/>
    <w:rsid w:val="0046043F"/>
    <w:rsid w:val="00465D65"/>
    <w:rsid w:val="00491490"/>
    <w:rsid w:val="00494494"/>
    <w:rsid w:val="0049483B"/>
    <w:rsid w:val="004969FA"/>
    <w:rsid w:val="004B6D70"/>
    <w:rsid w:val="004C00AA"/>
    <w:rsid w:val="004F3D57"/>
    <w:rsid w:val="00524B19"/>
    <w:rsid w:val="00527104"/>
    <w:rsid w:val="005334CA"/>
    <w:rsid w:val="00533843"/>
    <w:rsid w:val="00564DEE"/>
    <w:rsid w:val="0057441E"/>
    <w:rsid w:val="005902AC"/>
    <w:rsid w:val="005A5D0D"/>
    <w:rsid w:val="005D6D05"/>
    <w:rsid w:val="006024A0"/>
    <w:rsid w:val="00602967"/>
    <w:rsid w:val="00606F11"/>
    <w:rsid w:val="00645A27"/>
    <w:rsid w:val="00647A71"/>
    <w:rsid w:val="00671C0C"/>
    <w:rsid w:val="006B49C8"/>
    <w:rsid w:val="006C1B78"/>
    <w:rsid w:val="006C738F"/>
    <w:rsid w:val="006D7D8A"/>
    <w:rsid w:val="006F7A52"/>
    <w:rsid w:val="007046F6"/>
    <w:rsid w:val="00711249"/>
    <w:rsid w:val="00712CAA"/>
    <w:rsid w:val="00716A8B"/>
    <w:rsid w:val="00726C6C"/>
    <w:rsid w:val="00730F76"/>
    <w:rsid w:val="00736250"/>
    <w:rsid w:val="00744A45"/>
    <w:rsid w:val="0075340F"/>
    <w:rsid w:val="00754C6D"/>
    <w:rsid w:val="00755096"/>
    <w:rsid w:val="007703B4"/>
    <w:rsid w:val="0077361A"/>
    <w:rsid w:val="00777623"/>
    <w:rsid w:val="007A34A3"/>
    <w:rsid w:val="007B5F9F"/>
    <w:rsid w:val="007C2954"/>
    <w:rsid w:val="007D4F70"/>
    <w:rsid w:val="007E7CAB"/>
    <w:rsid w:val="00813B57"/>
    <w:rsid w:val="00824D57"/>
    <w:rsid w:val="00837B12"/>
    <w:rsid w:val="00841282"/>
    <w:rsid w:val="008552A3"/>
    <w:rsid w:val="00856F93"/>
    <w:rsid w:val="00877C6E"/>
    <w:rsid w:val="00882652"/>
    <w:rsid w:val="008A0125"/>
    <w:rsid w:val="008B774A"/>
    <w:rsid w:val="008F5E59"/>
    <w:rsid w:val="00911156"/>
    <w:rsid w:val="00914902"/>
    <w:rsid w:val="00917386"/>
    <w:rsid w:val="0095194C"/>
    <w:rsid w:val="0097702E"/>
    <w:rsid w:val="00983946"/>
    <w:rsid w:val="00991528"/>
    <w:rsid w:val="009A5430"/>
    <w:rsid w:val="009B0E73"/>
    <w:rsid w:val="009B52F9"/>
    <w:rsid w:val="009C15C4"/>
    <w:rsid w:val="009C7250"/>
    <w:rsid w:val="009D2CD4"/>
    <w:rsid w:val="009D7613"/>
    <w:rsid w:val="009E193D"/>
    <w:rsid w:val="009F1AA3"/>
    <w:rsid w:val="009F53F9"/>
    <w:rsid w:val="00A05391"/>
    <w:rsid w:val="00A317A9"/>
    <w:rsid w:val="00A340A5"/>
    <w:rsid w:val="00A36FEA"/>
    <w:rsid w:val="00A41149"/>
    <w:rsid w:val="00A43940"/>
    <w:rsid w:val="00A56D57"/>
    <w:rsid w:val="00A64108"/>
    <w:rsid w:val="00A65CD9"/>
    <w:rsid w:val="00A71D97"/>
    <w:rsid w:val="00A862CD"/>
    <w:rsid w:val="00A931C3"/>
    <w:rsid w:val="00A960B8"/>
    <w:rsid w:val="00AA2C5F"/>
    <w:rsid w:val="00AC2247"/>
    <w:rsid w:val="00AC433A"/>
    <w:rsid w:val="00AF05AF"/>
    <w:rsid w:val="00B16D95"/>
    <w:rsid w:val="00B20316"/>
    <w:rsid w:val="00B34E3C"/>
    <w:rsid w:val="00B42FAE"/>
    <w:rsid w:val="00B47FE3"/>
    <w:rsid w:val="00B5288E"/>
    <w:rsid w:val="00B62597"/>
    <w:rsid w:val="00B70FB3"/>
    <w:rsid w:val="00B84609"/>
    <w:rsid w:val="00BA3DBE"/>
    <w:rsid w:val="00BA40D8"/>
    <w:rsid w:val="00BA6146"/>
    <w:rsid w:val="00BB531B"/>
    <w:rsid w:val="00BB5B86"/>
    <w:rsid w:val="00BB6921"/>
    <w:rsid w:val="00BB6929"/>
    <w:rsid w:val="00BD0C43"/>
    <w:rsid w:val="00BD1309"/>
    <w:rsid w:val="00BD427C"/>
    <w:rsid w:val="00BF331B"/>
    <w:rsid w:val="00C06C77"/>
    <w:rsid w:val="00C10A93"/>
    <w:rsid w:val="00C14B8D"/>
    <w:rsid w:val="00C15820"/>
    <w:rsid w:val="00C37FC7"/>
    <w:rsid w:val="00C439EC"/>
    <w:rsid w:val="00C5307B"/>
    <w:rsid w:val="00C71E80"/>
    <w:rsid w:val="00C72168"/>
    <w:rsid w:val="00C757F4"/>
    <w:rsid w:val="00C75A9D"/>
    <w:rsid w:val="00CA49B9"/>
    <w:rsid w:val="00CB19DE"/>
    <w:rsid w:val="00CB475B"/>
    <w:rsid w:val="00CC1B47"/>
    <w:rsid w:val="00CC5688"/>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B4827"/>
    <w:rsid w:val="00DE34CF"/>
    <w:rsid w:val="00DE6972"/>
    <w:rsid w:val="00DE6DB9"/>
    <w:rsid w:val="00DE77B9"/>
    <w:rsid w:val="00DF1112"/>
    <w:rsid w:val="00DF7404"/>
    <w:rsid w:val="00E0148D"/>
    <w:rsid w:val="00E1605D"/>
    <w:rsid w:val="00E32B6B"/>
    <w:rsid w:val="00E5387A"/>
    <w:rsid w:val="00E55E84"/>
    <w:rsid w:val="00E63974"/>
    <w:rsid w:val="00E67542"/>
    <w:rsid w:val="00EB68B0"/>
    <w:rsid w:val="00EC6CF8"/>
    <w:rsid w:val="00EE7DD3"/>
    <w:rsid w:val="00F064D0"/>
    <w:rsid w:val="00F22B45"/>
    <w:rsid w:val="00F3061A"/>
    <w:rsid w:val="00F3645D"/>
    <w:rsid w:val="00F4190F"/>
    <w:rsid w:val="00F5077C"/>
    <w:rsid w:val="00F6069C"/>
    <w:rsid w:val="00FA5273"/>
    <w:rsid w:val="00FA5955"/>
    <w:rsid w:val="00FB1739"/>
    <w:rsid w:val="00FC2B9A"/>
    <w:rsid w:val="00FD5E79"/>
    <w:rsid w:val="00FE79EB"/>
    <w:rsid w:val="00FF0E1C"/>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 w:type="character" w:customStyle="1" w:styleId="ui-provider">
    <w:name w:val="ui-provider"/>
    <w:basedOn w:val="DefaultParagraphFont"/>
    <w:rsid w:val="00C06C77"/>
  </w:style>
  <w:style w:type="paragraph" w:styleId="ListParagraph">
    <w:name w:val="List Paragraph"/>
    <w:basedOn w:val="Normal"/>
    <w:uiPriority w:val="34"/>
    <w:qFormat/>
    <w:rsid w:val="0077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