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733935" w:rsidRPr="00217D47" w:rsidP="00B673AE" w14:paraId="6A717643" w14:textId="014809BD">
      <w:pPr>
        <w:pStyle w:val="Title"/>
        <w:spacing w:before="0" w:after="120" w:line="240" w:lineRule="auto"/>
      </w:pPr>
      <w:r w:rsidRPr="00217D47">
        <w:t>Agenda</w:t>
      </w:r>
    </w:p>
    <w:p w:rsidR="00733935" w:rsidRPr="00733935" w:rsidP="00733935" w14:paraId="1DD2CB9F" w14:textId="77777777">
      <w:pPr>
        <w:spacing w:after="120"/>
        <w:jc w:val="center"/>
        <w:rPr>
          <w:b/>
          <w:sz w:val="28"/>
        </w:rPr>
      </w:pPr>
      <w:r w:rsidRPr="00733935">
        <w:rPr>
          <w:b/>
          <w:sz w:val="28"/>
        </w:rPr>
        <w:t>Members Committee</w:t>
      </w:r>
    </w:p>
    <w:p w:rsidR="00B547EF" w:rsidP="00733935" w14:paraId="6DA9193C" w14:textId="29518B25">
      <w:pPr>
        <w:spacing w:after="120"/>
        <w:jc w:val="center"/>
        <w:rPr>
          <w:sz w:val="28"/>
        </w:rPr>
      </w:pPr>
      <w:r>
        <w:rPr>
          <w:sz w:val="28"/>
        </w:rPr>
        <w:t>Two</w:t>
      </w:r>
      <w:r w:rsidRPr="00733935">
        <w:rPr>
          <w:sz w:val="28"/>
        </w:rPr>
        <w:t xml:space="preserve"> Hundred-</w:t>
      </w:r>
      <w:r>
        <w:rPr>
          <w:sz w:val="28"/>
        </w:rPr>
        <w:t>Eighty-</w:t>
      </w:r>
      <w:r w:rsidR="00C8386C">
        <w:rPr>
          <w:sz w:val="28"/>
        </w:rPr>
        <w:t>F</w:t>
      </w:r>
      <w:r>
        <w:rPr>
          <w:sz w:val="28"/>
        </w:rPr>
        <w:t>irst</w:t>
      </w:r>
      <w:r w:rsidRPr="00733935">
        <w:rPr>
          <w:sz w:val="28"/>
        </w:rPr>
        <w:t xml:space="preserve"> Meeting</w:t>
      </w:r>
    </w:p>
    <w:p w:rsidR="00733935" w:rsidRPr="00733935" w:rsidP="00733935" w14:paraId="3ADA6017" w14:textId="1FF71222">
      <w:pPr>
        <w:spacing w:after="120"/>
        <w:jc w:val="center"/>
        <w:rPr>
          <w:sz w:val="28"/>
        </w:rPr>
      </w:pPr>
      <w:r w:rsidRPr="00B547EF">
        <w:rPr>
          <w:sz w:val="28"/>
        </w:rPr>
        <w:t>Baltimore Marriott Waterfront</w:t>
      </w:r>
      <w:r w:rsidR="0036532F">
        <w:rPr>
          <w:sz w:val="28"/>
        </w:rPr>
        <w:t xml:space="preserve">, </w:t>
      </w:r>
      <w:r>
        <w:rPr>
          <w:sz w:val="28"/>
        </w:rPr>
        <w:t>Baltimore</w:t>
      </w:r>
      <w:r w:rsidRPr="0036532F" w:rsidR="0036532F">
        <w:rPr>
          <w:sz w:val="28"/>
        </w:rPr>
        <w:t xml:space="preserve">, </w:t>
      </w:r>
      <w:r>
        <w:rPr>
          <w:sz w:val="28"/>
        </w:rPr>
        <w:t>M</w:t>
      </w:r>
      <w:r w:rsidR="00346F83">
        <w:rPr>
          <w:sz w:val="28"/>
        </w:rPr>
        <w:t>aryland</w:t>
      </w:r>
    </w:p>
    <w:p w:rsidR="00733935" w:rsidRPr="00733935" w:rsidP="00733935" w14:paraId="66A51736" w14:textId="0000229B">
      <w:pPr>
        <w:spacing w:after="120"/>
        <w:jc w:val="center"/>
        <w:rPr>
          <w:b/>
          <w:sz w:val="28"/>
        </w:rPr>
      </w:pPr>
      <w:r w:rsidRPr="00733935">
        <w:rPr>
          <w:b/>
          <w:sz w:val="28"/>
        </w:rPr>
        <w:t xml:space="preserve">May </w:t>
      </w:r>
      <w:r w:rsidR="00873762">
        <w:rPr>
          <w:b/>
          <w:sz w:val="28"/>
        </w:rPr>
        <w:t>1</w:t>
      </w:r>
      <w:r w:rsidR="007E01F4">
        <w:rPr>
          <w:b/>
          <w:sz w:val="28"/>
        </w:rPr>
        <w:t>1</w:t>
      </w:r>
      <w:r w:rsidRPr="00733935">
        <w:rPr>
          <w:b/>
          <w:sz w:val="28"/>
        </w:rPr>
        <w:t>, 20</w:t>
      </w:r>
      <w:r w:rsidR="00873762">
        <w:rPr>
          <w:b/>
          <w:sz w:val="28"/>
        </w:rPr>
        <w:t>2</w:t>
      </w:r>
      <w:r w:rsidR="007E01F4">
        <w:rPr>
          <w:b/>
          <w:sz w:val="28"/>
        </w:rPr>
        <w:t>6</w:t>
      </w:r>
    </w:p>
    <w:p w:rsidR="00733935" w:rsidRPr="00733935" w:rsidP="00733935" w14:paraId="6678700C" w14:textId="4CCECAF3">
      <w:pPr>
        <w:spacing w:after="120"/>
        <w:jc w:val="center"/>
        <w:rPr>
          <w:sz w:val="28"/>
        </w:rPr>
      </w:pPr>
      <w:r>
        <w:rPr>
          <w:sz w:val="28"/>
        </w:rPr>
        <w:t>1</w:t>
      </w:r>
      <w:r w:rsidR="00C24EAC">
        <w:rPr>
          <w:sz w:val="28"/>
        </w:rPr>
        <w:t>:30</w:t>
      </w:r>
      <w:r w:rsidR="003E7463">
        <w:rPr>
          <w:sz w:val="28"/>
        </w:rPr>
        <w:t>–</w:t>
      </w:r>
      <w:r w:rsidR="002302B5">
        <w:rPr>
          <w:sz w:val="28"/>
        </w:rPr>
        <w:t>5</w:t>
      </w:r>
      <w:r w:rsidR="00C24EAC">
        <w:rPr>
          <w:sz w:val="28"/>
        </w:rPr>
        <w:t>:30</w:t>
      </w:r>
      <w:r w:rsidRPr="00733935" w:rsidR="0083249B">
        <w:rPr>
          <w:sz w:val="28"/>
        </w:rPr>
        <w:t xml:space="preserve"> </w:t>
      </w:r>
      <w:r w:rsidRPr="00733935">
        <w:rPr>
          <w:sz w:val="28"/>
        </w:rPr>
        <w:t>p.m. E</w:t>
      </w:r>
      <w:r w:rsidR="00212C27">
        <w:rPr>
          <w:sz w:val="28"/>
        </w:rPr>
        <w:t>P</w:t>
      </w:r>
      <w:r w:rsidRPr="00733935">
        <w:rPr>
          <w:sz w:val="28"/>
        </w:rPr>
        <w:t>T</w:t>
      </w:r>
    </w:p>
    <w:p w:rsidR="00733935" w:rsidRPr="00733935" w:rsidP="00733935" w14:paraId="356F58BF" w14:textId="77777777">
      <w:pPr>
        <w:spacing w:after="120" w:line="240" w:lineRule="auto"/>
        <w:jc w:val="center"/>
        <w:rPr>
          <w:i/>
        </w:rPr>
      </w:pPr>
      <w:r w:rsidRPr="00733935">
        <w:rPr>
          <w:i/>
        </w:rPr>
        <w:t>Business Casual Attire</w:t>
      </w:r>
    </w:p>
    <w:p w:rsidR="00BB7250" w:rsidRPr="00217D47" w:rsidP="00BB7250" w14:paraId="4B51B342" w14:textId="5BA93843">
      <w:pPr>
        <w:pStyle w:val="Level1Number"/>
      </w:pPr>
      <w:r w:rsidRPr="00217D47">
        <w:t xml:space="preserve">Administration </w:t>
      </w:r>
      <w:r>
        <w:t>(1</w:t>
      </w:r>
      <w:r w:rsidR="00C24EAC">
        <w:t>:30</w:t>
      </w:r>
      <w:r w:rsidR="00346F83">
        <w:t>–</w:t>
      </w:r>
      <w:r>
        <w:t>1:</w:t>
      </w:r>
      <w:r w:rsidR="00C24EAC">
        <w:t>3</w:t>
      </w:r>
      <w:r>
        <w:t>5</w:t>
      </w:r>
      <w:r w:rsidR="00346F83">
        <w:t xml:space="preserve"> p.m.</w:t>
      </w:r>
      <w:r>
        <w:t>)</w:t>
      </w:r>
    </w:p>
    <w:p w:rsidR="00BB7250" w:rsidRPr="00217D47" w:rsidP="00BB7250" w14:paraId="1856C258" w14:textId="77777777">
      <w:pPr>
        <w:pStyle w:val="Level2Numbering"/>
      </w:pPr>
      <w:r w:rsidRPr="00217D47">
        <w:t xml:space="preserve">Announce sector selections of new members since the last meeting and any members </w:t>
      </w:r>
      <w:r w:rsidRPr="00217D47">
        <w:br/>
        <w:t xml:space="preserve">changing sector </w:t>
      </w:r>
      <w:r w:rsidRPr="00217D47">
        <w:rPr>
          <w:i/>
        </w:rPr>
        <w:t>–</w:t>
      </w:r>
      <w:r>
        <w:rPr>
          <w:i/>
        </w:rPr>
        <w:t xml:space="preserve"> </w:t>
      </w:r>
      <w:r w:rsidRPr="00217D47">
        <w:rPr>
          <w:i/>
        </w:rPr>
        <w:t>David Anders</w:t>
      </w:r>
    </w:p>
    <w:p w:rsidR="00BB7250" w:rsidRPr="00217D47" w:rsidP="00BB7250" w14:paraId="536A7BDD" w14:textId="77777777">
      <w:pPr>
        <w:pStyle w:val="Level2Numbering"/>
      </w:pPr>
      <w:r w:rsidRPr="00217D47">
        <w:t>Confirm the presence of a quorum of representatives or designated alternates for this</w:t>
      </w:r>
      <w:r w:rsidRPr="00217D47">
        <w:br/>
        <w:t xml:space="preserve">meeting </w:t>
      </w:r>
      <w:r w:rsidRPr="00217D47">
        <w:rPr>
          <w:i/>
        </w:rPr>
        <w:t>– David Anders</w:t>
      </w:r>
    </w:p>
    <w:p w:rsidR="00BB7250" w:rsidP="00BB7250" w14:paraId="371EBB95" w14:textId="77777777">
      <w:pPr>
        <w:pStyle w:val="Level2Numbering"/>
        <w:rPr>
          <w:i/>
        </w:rPr>
      </w:pPr>
      <w:r w:rsidRPr="00217D47">
        <w:t xml:space="preserve">Antitrust and Code of Conduct announcement </w:t>
      </w:r>
      <w:r>
        <w:rPr>
          <w:i/>
        </w:rPr>
        <w:t>–</w:t>
      </w:r>
      <w:r w:rsidRPr="00217D47">
        <w:rPr>
          <w:i/>
        </w:rPr>
        <w:t xml:space="preserve"> David Anders</w:t>
      </w:r>
    </w:p>
    <w:p w:rsidR="00733935" w:rsidRPr="00733935" w:rsidP="00733935" w14:paraId="0BAC6FCE" w14:textId="11DD4AC5">
      <w:pPr>
        <w:pStyle w:val="Level1Number"/>
      </w:pPr>
      <w:r w:rsidRPr="00733935">
        <w:t>Comments by the President and CEO</w:t>
      </w:r>
      <w:r w:rsidR="00907D3D">
        <w:t xml:space="preserve"> (1:</w:t>
      </w:r>
      <w:r w:rsidR="00C24EAC">
        <w:t>3</w:t>
      </w:r>
      <w:r w:rsidR="00BB7250">
        <w:t>5</w:t>
      </w:r>
      <w:r w:rsidR="00346F83">
        <w:t>–</w:t>
      </w:r>
      <w:r w:rsidR="00907D3D">
        <w:t>1:</w:t>
      </w:r>
      <w:r w:rsidR="00C24EAC">
        <w:t>5</w:t>
      </w:r>
      <w:r w:rsidR="00BB7250">
        <w:t>0</w:t>
      </w:r>
      <w:r w:rsidR="00346F83">
        <w:t xml:space="preserve"> p.m.</w:t>
      </w:r>
      <w:r w:rsidR="00907D3D">
        <w:t>)</w:t>
      </w:r>
    </w:p>
    <w:p w:rsidR="00733935" w:rsidRPr="00217D47" w:rsidP="00733935" w14:paraId="7149F232" w14:textId="6EF678E1">
      <w:pPr>
        <w:ind w:left="360"/>
      </w:pPr>
      <w:r>
        <w:t>David Mills</w:t>
      </w:r>
      <w:r w:rsidRPr="00733935" w:rsidR="00B35CD1">
        <w:t xml:space="preserve"> will provide remarks on the state of PJM.</w:t>
      </w:r>
    </w:p>
    <w:p w:rsidR="00733935" w:rsidP="00733935" w14:paraId="3CDD697E" w14:textId="10B6AD79">
      <w:pPr>
        <w:pStyle w:val="Level1Number"/>
      </w:pPr>
      <w:r w:rsidRPr="00733935">
        <w:t>Comments by the Members Committee</w:t>
      </w:r>
      <w:r w:rsidR="00D074A6">
        <w:t xml:space="preserve"> (MC)</w:t>
      </w:r>
      <w:r w:rsidRPr="00733935">
        <w:t xml:space="preserve"> Chair</w:t>
      </w:r>
      <w:r w:rsidR="00907D3D">
        <w:t xml:space="preserve"> (1:</w:t>
      </w:r>
      <w:r w:rsidR="00C24EAC">
        <w:t>5</w:t>
      </w:r>
      <w:r w:rsidR="00BB7250">
        <w:t>0</w:t>
      </w:r>
      <w:r w:rsidR="00346F83">
        <w:t>–</w:t>
      </w:r>
      <w:r w:rsidR="00C24EAC">
        <w:t>2</w:t>
      </w:r>
      <w:r w:rsidR="00346F83">
        <w:t xml:space="preserve"> p.m.</w:t>
      </w:r>
      <w:r w:rsidR="00907D3D">
        <w:t>)</w:t>
      </w:r>
    </w:p>
    <w:p w:rsidR="00733935" w:rsidRPr="00217D47" w:rsidP="00733935" w14:paraId="1524CE08" w14:textId="0CA58996">
      <w:pPr>
        <w:ind w:left="360"/>
      </w:pPr>
      <w:r>
        <w:t>Jason Barker</w:t>
      </w:r>
      <w:r w:rsidRPr="00217D47" w:rsidR="00B35CD1">
        <w:t xml:space="preserve"> will provide remarks on the past year’s accomplishments.</w:t>
      </w:r>
    </w:p>
    <w:p w:rsidR="00270768" w:rsidRPr="00217D47" w:rsidP="00270768" w14:paraId="6A18618E" w14:textId="29AB8C3A">
      <w:pPr>
        <w:pStyle w:val="Level1Number"/>
      </w:pPr>
      <w:r w:rsidRPr="00217D47">
        <w:t xml:space="preserve">Consent Agenda </w:t>
      </w:r>
      <w:r w:rsidR="00907D3D">
        <w:t>(</w:t>
      </w:r>
      <w:r w:rsidR="00C24EAC">
        <w:t>2</w:t>
      </w:r>
      <w:r w:rsidR="00346F83">
        <w:t>–</w:t>
      </w:r>
      <w:r w:rsidR="00C24EAC">
        <w:t>2:05</w:t>
      </w:r>
      <w:r w:rsidR="00346F83">
        <w:t xml:space="preserve"> p.m.</w:t>
      </w:r>
      <w:r w:rsidR="00907D3D">
        <w:t>)</w:t>
      </w:r>
    </w:p>
    <w:p w:rsidR="0092623F" w:rsidP="00D268D2" w14:paraId="44636146" w14:textId="70F9DD8E">
      <w:pPr>
        <w:pStyle w:val="Level2Numbering"/>
        <w:numPr>
          <w:ilvl w:val="0"/>
          <w:numId w:val="23"/>
        </w:numPr>
      </w:pPr>
      <w:r w:rsidRPr="00D268D2">
        <w:rPr>
          <w:b/>
        </w:rPr>
        <w:t>Approve</w:t>
      </w:r>
      <w:r w:rsidRPr="00D268D2">
        <w:rPr>
          <w:i/>
        </w:rPr>
        <w:t xml:space="preserve"> </w:t>
      </w:r>
      <w:r w:rsidRPr="00217D47">
        <w:t xml:space="preserve">draft minutes of the </w:t>
      </w:r>
      <w:r w:rsidR="00873762">
        <w:t>April 2</w:t>
      </w:r>
      <w:r w:rsidR="00DC2A7B">
        <w:t>2</w:t>
      </w:r>
      <w:r w:rsidRPr="00217D47">
        <w:t>, 20</w:t>
      </w:r>
      <w:r w:rsidR="005C7241">
        <w:t>2</w:t>
      </w:r>
      <w:r w:rsidR="00CC2A20">
        <w:t>6</w:t>
      </w:r>
      <w:r w:rsidR="00346F83">
        <w:t>,</w:t>
      </w:r>
      <w:r w:rsidRPr="00217D47">
        <w:t xml:space="preserve"> meeting.</w:t>
      </w:r>
    </w:p>
    <w:p w:rsidR="00270768" w:rsidRPr="00217D47" w:rsidP="00270768" w14:paraId="3B0E236F" w14:textId="62D938F8">
      <w:pPr>
        <w:pStyle w:val="Level1Number"/>
      </w:pPr>
      <w:r w:rsidRPr="00217D47">
        <w:t>PJM Board of Managers Nominating Committee</w:t>
      </w:r>
      <w:r w:rsidR="00907D3D">
        <w:t xml:space="preserve"> </w:t>
      </w:r>
      <w:r w:rsidR="00987E80">
        <w:t>Report and Election</w:t>
      </w:r>
      <w:r w:rsidR="00507C6D">
        <w:t>s</w:t>
      </w:r>
      <w:r w:rsidR="00987E80">
        <w:t xml:space="preserve"> </w:t>
      </w:r>
      <w:r w:rsidR="00507C6D">
        <w:t>for</w:t>
      </w:r>
      <w:r w:rsidR="00987E80">
        <w:t xml:space="preserve"> the Board of Manager</w:t>
      </w:r>
      <w:r w:rsidR="00507C6D">
        <w:t>s</w:t>
      </w:r>
      <w:r w:rsidR="00987E80">
        <w:t xml:space="preserve"> </w:t>
      </w:r>
      <w:r w:rsidR="00907D3D">
        <w:t>(</w:t>
      </w:r>
      <w:r w:rsidR="00C24EAC">
        <w:t>2:05</w:t>
      </w:r>
      <w:r w:rsidR="00346F83">
        <w:t>–</w:t>
      </w:r>
      <w:r w:rsidR="00C24EAC">
        <w:t>2:15</w:t>
      </w:r>
      <w:r w:rsidR="00346F83">
        <w:t xml:space="preserve"> p.m.</w:t>
      </w:r>
      <w:r w:rsidR="00907D3D">
        <w:t>)</w:t>
      </w:r>
    </w:p>
    <w:p w:rsidR="00C5277C" w:rsidP="00CC2A20" w14:paraId="1FB80DD6" w14:textId="13BD4343">
      <w:pPr>
        <w:spacing w:after="120"/>
        <w:ind w:left="360"/>
      </w:pPr>
      <w:r>
        <w:t>PJM Board of Manager</w:t>
      </w:r>
      <w:r w:rsidRPr="00217D47" w:rsidR="00B35CD1">
        <w:t xml:space="preserve"> </w:t>
      </w:r>
      <w:r w:rsidR="00987E80">
        <w:t>and Nominating Committee member Vickie VanZandt</w:t>
      </w:r>
      <w:r w:rsidR="00507C6D">
        <w:t xml:space="preserve"> (as delegate for the Chair Charl</w:t>
      </w:r>
      <w:r w:rsidR="001E7EC1">
        <w:t>i</w:t>
      </w:r>
      <w:r w:rsidR="00507C6D">
        <w:t>e Robinson)</w:t>
      </w:r>
      <w:r w:rsidR="00987E80">
        <w:t xml:space="preserve"> </w:t>
      </w:r>
      <w:r w:rsidRPr="00217D47" w:rsidR="00B35CD1">
        <w:t>will review the activities of the N</w:t>
      </w:r>
      <w:r>
        <w:t xml:space="preserve">ominating </w:t>
      </w:r>
      <w:r w:rsidRPr="00217D47" w:rsidR="00B35CD1">
        <w:t>C</w:t>
      </w:r>
      <w:r>
        <w:t>ommittee and present the Nominees</w:t>
      </w:r>
      <w:r w:rsidRPr="00217D47" w:rsidR="00B35CD1">
        <w:t xml:space="preserve">.  The Members Committee will </w:t>
      </w:r>
      <w:r w:rsidR="00987E80">
        <w:t>conduct the</w:t>
      </w:r>
      <w:r w:rsidRPr="00C5277C" w:rsidR="00987E80">
        <w:rPr>
          <w:bCs/>
        </w:rPr>
        <w:t xml:space="preserve"> </w:t>
      </w:r>
      <w:r>
        <w:rPr>
          <w:bCs/>
        </w:rPr>
        <w:t>E</w:t>
      </w:r>
      <w:r w:rsidRPr="003E50EC" w:rsidR="00B35CD1">
        <w:rPr>
          <w:bCs/>
        </w:rPr>
        <w:t>lect</w:t>
      </w:r>
      <w:r w:rsidRPr="003E50EC" w:rsidR="00987E80">
        <w:rPr>
          <w:bCs/>
        </w:rPr>
        <w:t>ion</w:t>
      </w:r>
      <w:r>
        <w:rPr>
          <w:bCs/>
        </w:rPr>
        <w:t>s</w:t>
      </w:r>
      <w:r w:rsidRPr="003E50EC" w:rsidR="00987E80">
        <w:rPr>
          <w:bCs/>
        </w:rPr>
        <w:t xml:space="preserve"> </w:t>
      </w:r>
      <w:r>
        <w:t xml:space="preserve">for </w:t>
      </w:r>
      <w:r w:rsidRPr="00217D47" w:rsidR="00B35CD1">
        <w:t>the Board of Managers.</w:t>
      </w:r>
      <w:r>
        <w:t xml:space="preserve">  The Nominees fo</w:t>
      </w:r>
      <w:r w:rsidR="00507C6D">
        <w:t>r</w:t>
      </w:r>
      <w:r>
        <w:t xml:space="preserve"> the Board of Managers shall</w:t>
      </w:r>
      <w:r>
        <w:t xml:space="preserve"> </w:t>
      </w:r>
      <w:r>
        <w:t>each be considered individually:</w:t>
      </w:r>
    </w:p>
    <w:p w:rsidR="00C5277C" w:rsidRPr="00FF1589" w:rsidP="00C24EAC" w14:paraId="118E9399" w14:textId="73B85661">
      <w:pPr>
        <w:pStyle w:val="ListParagraph"/>
        <w:numPr>
          <w:ilvl w:val="3"/>
          <w:numId w:val="21"/>
        </w:numPr>
        <w:spacing w:after="120"/>
        <w:rPr>
          <w:rFonts w:ascii="Arial Narrow" w:hAnsi="Arial Narrow"/>
          <w:b w:val="0"/>
          <w:bCs w:val="0"/>
          <w:color w:val="auto"/>
        </w:rPr>
      </w:pPr>
      <w:r w:rsidRPr="00FF1589">
        <w:rPr>
          <w:rFonts w:ascii="Arial Narrow" w:hAnsi="Arial Narrow"/>
          <w:b w:val="0"/>
          <w:bCs w:val="0"/>
          <w:color w:val="auto"/>
        </w:rPr>
        <w:t>Margo Loebl</w:t>
      </w:r>
    </w:p>
    <w:p w:rsidR="00C5277C" w:rsidRPr="00FF1589" w:rsidP="00C24EAC" w14:paraId="653C509B" w14:textId="2198A888">
      <w:pPr>
        <w:pStyle w:val="ListParagraph"/>
        <w:numPr>
          <w:ilvl w:val="3"/>
          <w:numId w:val="21"/>
        </w:numPr>
        <w:spacing w:after="120"/>
        <w:rPr>
          <w:rFonts w:ascii="Arial Narrow" w:hAnsi="Arial Narrow"/>
          <w:b w:val="0"/>
          <w:bCs w:val="0"/>
          <w:color w:val="auto"/>
        </w:rPr>
      </w:pPr>
      <w:r w:rsidRPr="00FF1589">
        <w:rPr>
          <w:rFonts w:ascii="Arial Narrow" w:hAnsi="Arial Narrow"/>
          <w:b w:val="0"/>
          <w:bCs w:val="0"/>
          <w:color w:val="auto"/>
        </w:rPr>
        <w:t xml:space="preserve">Larry Bekkedahl </w:t>
      </w:r>
      <w:r w:rsidRPr="00FF1589" w:rsidR="00075D40">
        <w:rPr>
          <w:rFonts w:ascii="Arial Narrow" w:hAnsi="Arial Narrow"/>
          <w:b w:val="0"/>
          <w:bCs w:val="0"/>
          <w:color w:val="auto"/>
        </w:rPr>
        <w:t>(as successor to the seat held by Jeanine Johnson)</w:t>
      </w:r>
    </w:p>
    <w:p w:rsidR="00C5277C" w:rsidRPr="00FF1589" w:rsidP="00C24EAC" w14:paraId="307BA05E" w14:textId="142A5095">
      <w:pPr>
        <w:pStyle w:val="ListParagraph"/>
        <w:numPr>
          <w:ilvl w:val="3"/>
          <w:numId w:val="21"/>
        </w:numPr>
        <w:spacing w:after="120"/>
        <w:rPr>
          <w:rFonts w:ascii="Arial Narrow" w:hAnsi="Arial Narrow"/>
          <w:b w:val="0"/>
          <w:bCs w:val="0"/>
          <w:color w:val="auto"/>
        </w:rPr>
      </w:pPr>
      <w:r w:rsidRPr="00FF1589">
        <w:rPr>
          <w:rFonts w:ascii="Arial Narrow" w:hAnsi="Arial Narrow"/>
          <w:b w:val="0"/>
          <w:bCs w:val="0"/>
          <w:color w:val="auto"/>
        </w:rPr>
        <w:t>Charlie Bera</w:t>
      </w:r>
      <w:r w:rsidR="00987E4A">
        <w:rPr>
          <w:rFonts w:ascii="Arial Narrow" w:hAnsi="Arial Narrow"/>
          <w:b w:val="0"/>
          <w:bCs w:val="0"/>
          <w:color w:val="auto"/>
        </w:rPr>
        <w:t>r</w:t>
      </w:r>
      <w:r w:rsidRPr="00FF1589">
        <w:rPr>
          <w:rFonts w:ascii="Arial Narrow" w:hAnsi="Arial Narrow"/>
          <w:b w:val="0"/>
          <w:bCs w:val="0"/>
          <w:color w:val="auto"/>
        </w:rPr>
        <w:t>desco</w:t>
      </w:r>
      <w:r w:rsidRPr="00FF1589" w:rsidR="00075D40">
        <w:rPr>
          <w:rFonts w:ascii="Arial Narrow" w:hAnsi="Arial Narrow"/>
          <w:b w:val="0"/>
          <w:bCs w:val="0"/>
          <w:color w:val="auto"/>
        </w:rPr>
        <w:t xml:space="preserve"> (as successor to the seat held by Charlie Robinson)</w:t>
      </w:r>
    </w:p>
    <w:p w:rsidR="0083249B" w:rsidRPr="00C5277C" w:rsidP="003E50EC" w14:paraId="128BCDEA" w14:textId="7090C0D1">
      <w:pPr>
        <w:spacing w:after="120"/>
        <w:ind w:left="2520" w:hanging="2160"/>
      </w:pPr>
      <w:r w:rsidRPr="00C5277C">
        <w:t>The vote will remain open</w:t>
      </w:r>
      <w:r w:rsidRPr="00C5277C" w:rsidR="00F75490">
        <w:t xml:space="preserve"> until </w:t>
      </w:r>
      <w:r w:rsidR="00C24EAC">
        <w:t>3:15</w:t>
      </w:r>
      <w:r w:rsidR="00346F83">
        <w:t xml:space="preserve"> p.m</w:t>
      </w:r>
      <w:r w:rsidRPr="00C5277C" w:rsidR="009C4615">
        <w:t>.</w:t>
      </w:r>
      <w:r w:rsidRPr="00C5277C">
        <w:t xml:space="preserve"> </w:t>
      </w:r>
    </w:p>
    <w:p w:rsidR="009C4615" w:rsidP="00CC2A20" w14:paraId="434A5565" w14:textId="77777777">
      <w:pPr>
        <w:spacing w:after="120"/>
        <w:ind w:left="360"/>
      </w:pPr>
    </w:p>
    <w:p w:rsidR="009C4615" w:rsidP="00CC2A20" w14:paraId="473E12CB" w14:textId="77777777">
      <w:pPr>
        <w:spacing w:after="120"/>
        <w:ind w:left="360"/>
      </w:pPr>
    </w:p>
    <w:p w:rsidR="0073666E" w:rsidP="0073666E" w14:paraId="61EDBEB1" w14:textId="5A405811">
      <w:pPr>
        <w:pStyle w:val="Level1Number"/>
      </w:pPr>
      <w:r>
        <w:t xml:space="preserve">Overview of </w:t>
      </w:r>
      <w:r>
        <w:t xml:space="preserve">Market Investment </w:t>
      </w:r>
      <w:r w:rsidR="000534F6">
        <w:t xml:space="preserve">Incentives </w:t>
      </w:r>
      <w:r>
        <w:t xml:space="preserve">Paper </w:t>
      </w:r>
      <w:r>
        <w:t>(</w:t>
      </w:r>
      <w:r w:rsidR="00C24EAC">
        <w:t>2:15</w:t>
      </w:r>
      <w:r w:rsidR="00346F83">
        <w:t>–</w:t>
      </w:r>
      <w:r>
        <w:t>2:</w:t>
      </w:r>
      <w:r w:rsidR="00C24EAC">
        <w:t>3</w:t>
      </w:r>
      <w:r>
        <w:t>5</w:t>
      </w:r>
      <w:r w:rsidR="00346F83">
        <w:t xml:space="preserve"> p.m.</w:t>
      </w:r>
      <w:r>
        <w:t>)</w:t>
      </w:r>
    </w:p>
    <w:p w:rsidR="0073666E" w:rsidP="00E11972" w14:paraId="78B9805D" w14:textId="79A4D411">
      <w:pPr>
        <w:spacing w:after="120"/>
        <w:ind w:left="360"/>
      </w:pPr>
      <w:r>
        <w:t xml:space="preserve">Adam Keech will provide an overview of PJM’s </w:t>
      </w:r>
      <w:r w:rsidR="000534F6">
        <w:t>m</w:t>
      </w:r>
      <w:r>
        <w:t xml:space="preserve">arket </w:t>
      </w:r>
      <w:r w:rsidR="000534F6">
        <w:t>i</w:t>
      </w:r>
      <w:r>
        <w:t xml:space="preserve">nvestment </w:t>
      </w:r>
      <w:r w:rsidR="000534F6">
        <w:t xml:space="preserve">incentives </w:t>
      </w:r>
      <w:r w:rsidR="00203F92">
        <w:t>paper</w:t>
      </w:r>
      <w:r>
        <w:t>.</w:t>
      </w:r>
    </w:p>
    <w:p w:rsidR="00712FD1" w:rsidRPr="000403FD" w:rsidP="009E3888" w14:paraId="6CE43B4A" w14:textId="4CCF4ACC">
      <w:pPr>
        <w:pStyle w:val="Level1Number"/>
        <w:ind w:right="-270"/>
      </w:pPr>
      <w:r w:rsidRPr="000403FD">
        <w:t xml:space="preserve">Panel Discussion Regarding </w:t>
      </w:r>
      <w:r w:rsidRPr="000403FD" w:rsidR="000403FD">
        <w:t xml:space="preserve">Supply Resource Investment Climate </w:t>
      </w:r>
      <w:r w:rsidR="00C23F76">
        <w:t>W</w:t>
      </w:r>
      <w:r w:rsidRPr="000403FD" w:rsidR="000403FD">
        <w:t xml:space="preserve">ithin PJM </w:t>
      </w:r>
      <w:r w:rsidRPr="000403FD" w:rsidR="00907D3D">
        <w:t>(</w:t>
      </w:r>
      <w:r w:rsidR="0073666E">
        <w:t>2:</w:t>
      </w:r>
      <w:r w:rsidR="00C24EAC">
        <w:t>35</w:t>
      </w:r>
      <w:r w:rsidR="00346F83">
        <w:t>–</w:t>
      </w:r>
      <w:r w:rsidR="0073666E">
        <w:t>3:</w:t>
      </w:r>
      <w:r w:rsidR="00C24EAC">
        <w:t>55</w:t>
      </w:r>
      <w:r w:rsidR="00346F83">
        <w:t xml:space="preserve"> p.m.</w:t>
      </w:r>
      <w:r w:rsidRPr="000403FD" w:rsidR="00907D3D">
        <w:t>)</w:t>
      </w:r>
    </w:p>
    <w:p w:rsidR="00712FD1" w:rsidP="00712FD1" w14:paraId="0AC3820B" w14:textId="6214D837">
      <w:pPr>
        <w:spacing w:after="120" w:line="240" w:lineRule="auto"/>
        <w:ind w:left="360"/>
      </w:pPr>
      <w:r>
        <w:t>Stu Bresler</w:t>
      </w:r>
      <w:r w:rsidRPr="000403FD" w:rsidR="00E46B8F">
        <w:t xml:space="preserve"> will moderate a panel discussion regarding</w:t>
      </w:r>
      <w:r w:rsidRPr="000403FD" w:rsidR="000403FD">
        <w:t xml:space="preserve"> </w:t>
      </w:r>
      <w:r w:rsidR="00F75490">
        <w:t xml:space="preserve">the </w:t>
      </w:r>
      <w:r w:rsidRPr="000403FD" w:rsidR="000403FD">
        <w:t>investment climate within PJM</w:t>
      </w:r>
      <w:r w:rsidRPr="000403FD" w:rsidR="005C7241">
        <w:t>.</w:t>
      </w:r>
      <w:r>
        <w:t xml:space="preserve"> </w:t>
      </w:r>
      <w:r w:rsidR="00C4171F">
        <w:t xml:space="preserve">Panelists </w:t>
      </w:r>
      <w:r>
        <w:t>include:</w:t>
      </w:r>
    </w:p>
    <w:p w:rsidR="00D03649" w:rsidP="00D03649" w14:paraId="5E170103" w14:textId="77777777">
      <w:pPr>
        <w:pStyle w:val="ListParagraph"/>
        <w:numPr>
          <w:ilvl w:val="0"/>
          <w:numId w:val="20"/>
        </w:numPr>
        <w:spacing w:after="120" w:line="240" w:lineRule="auto"/>
        <w:rPr>
          <w:rFonts w:ascii="Arial Narrow" w:hAnsi="Arial Narrow"/>
          <w:b w:val="0"/>
          <w:bCs w:val="0"/>
          <w:color w:val="auto"/>
        </w:rPr>
      </w:pPr>
      <w:r>
        <w:rPr>
          <w:rFonts w:ascii="Arial Narrow" w:hAnsi="Arial Narrow"/>
          <w:b w:val="0"/>
          <w:bCs w:val="0"/>
          <w:color w:val="auto"/>
        </w:rPr>
        <w:t xml:space="preserve">Denise Foster Cronin, Chief Compliance Officer and SVP, </w:t>
      </w:r>
      <w:r w:rsidRPr="009C4615">
        <w:rPr>
          <w:rFonts w:ascii="Arial Narrow" w:hAnsi="Arial Narrow"/>
          <w:b w:val="0"/>
          <w:bCs w:val="0"/>
          <w:color w:val="auto"/>
        </w:rPr>
        <w:t>E</w:t>
      </w:r>
      <w:r>
        <w:rPr>
          <w:rFonts w:ascii="Arial Narrow" w:hAnsi="Arial Narrow"/>
          <w:b w:val="0"/>
          <w:bCs w:val="0"/>
          <w:color w:val="auto"/>
        </w:rPr>
        <w:t>ast Kentucky Power Cooperative</w:t>
      </w:r>
    </w:p>
    <w:p w:rsidR="00D03649" w:rsidP="00D03649" w14:paraId="5989F9C3" w14:textId="77777777">
      <w:pPr>
        <w:pStyle w:val="ListParagraph"/>
        <w:numPr>
          <w:ilvl w:val="0"/>
          <w:numId w:val="20"/>
        </w:numPr>
        <w:spacing w:after="120" w:line="240" w:lineRule="auto"/>
        <w:rPr>
          <w:rFonts w:ascii="Arial Narrow" w:hAnsi="Arial Narrow"/>
          <w:b w:val="0"/>
          <w:bCs w:val="0"/>
          <w:color w:val="auto"/>
        </w:rPr>
      </w:pPr>
      <w:r w:rsidRPr="009C4615">
        <w:rPr>
          <w:rFonts w:ascii="Arial Narrow" w:hAnsi="Arial Narrow"/>
          <w:b w:val="0"/>
          <w:bCs w:val="0"/>
          <w:color w:val="auto"/>
        </w:rPr>
        <w:t>Stacey Dore, EVP Chief Strategy &amp; Sustainability Officer, Vistra</w:t>
      </w:r>
    </w:p>
    <w:p w:rsidR="00D03649" w:rsidRPr="009C4615" w:rsidP="00D03649" w14:paraId="592DEE9E" w14:textId="77777777">
      <w:pPr>
        <w:pStyle w:val="ListParagraph"/>
        <w:numPr>
          <w:ilvl w:val="0"/>
          <w:numId w:val="20"/>
        </w:numPr>
        <w:spacing w:after="120" w:line="240" w:lineRule="auto"/>
        <w:rPr>
          <w:rFonts w:ascii="Arial Narrow" w:hAnsi="Arial Narrow"/>
          <w:b w:val="0"/>
          <w:bCs w:val="0"/>
          <w:color w:val="auto"/>
        </w:rPr>
      </w:pPr>
      <w:r w:rsidRPr="009C4615">
        <w:rPr>
          <w:rFonts w:ascii="Arial Narrow" w:hAnsi="Arial Narrow"/>
          <w:b w:val="0"/>
          <w:bCs w:val="0"/>
          <w:color w:val="auto"/>
        </w:rPr>
        <w:t>Sherman Knight, C</w:t>
      </w:r>
      <w:r>
        <w:rPr>
          <w:rFonts w:ascii="Arial Narrow" w:hAnsi="Arial Narrow"/>
          <w:b w:val="0"/>
          <w:bCs w:val="0"/>
          <w:color w:val="auto"/>
        </w:rPr>
        <w:t xml:space="preserve">hief Executive Officer, </w:t>
      </w:r>
      <w:r w:rsidRPr="009C4615">
        <w:rPr>
          <w:rFonts w:ascii="Arial Narrow" w:hAnsi="Arial Narrow"/>
          <w:b w:val="0"/>
          <w:bCs w:val="0"/>
          <w:color w:val="auto"/>
        </w:rPr>
        <w:t>Competitive Power Ventures</w:t>
      </w:r>
    </w:p>
    <w:p w:rsidR="009C4615" w:rsidRPr="009C4615" w:rsidP="009C4615" w14:paraId="630CC08F" w14:textId="247325A2">
      <w:pPr>
        <w:pStyle w:val="ListParagraph"/>
        <w:numPr>
          <w:ilvl w:val="0"/>
          <w:numId w:val="20"/>
        </w:numPr>
        <w:spacing w:after="120" w:line="240" w:lineRule="auto"/>
        <w:rPr>
          <w:rFonts w:ascii="Arial Narrow" w:hAnsi="Arial Narrow"/>
          <w:b w:val="0"/>
          <w:bCs w:val="0"/>
          <w:color w:val="auto"/>
        </w:rPr>
      </w:pPr>
      <w:r w:rsidRPr="009C4615">
        <w:rPr>
          <w:rFonts w:ascii="Arial Narrow" w:hAnsi="Arial Narrow"/>
          <w:b w:val="0"/>
          <w:bCs w:val="0"/>
          <w:color w:val="auto"/>
        </w:rPr>
        <w:t>Bryan L. Long, Executive Director, J.P. Morgan Commodities, U.S. Power Origination </w:t>
      </w:r>
    </w:p>
    <w:p w:rsidR="009C4615" w:rsidRPr="009C4615" w:rsidP="009C4615" w14:paraId="19F4A924" w14:textId="7B80FC1E">
      <w:pPr>
        <w:pStyle w:val="ListParagraph"/>
        <w:numPr>
          <w:ilvl w:val="0"/>
          <w:numId w:val="20"/>
        </w:numPr>
        <w:spacing w:after="120" w:line="240" w:lineRule="auto"/>
        <w:rPr>
          <w:rFonts w:ascii="Arial Narrow" w:hAnsi="Arial Narrow"/>
          <w:b w:val="0"/>
          <w:bCs w:val="0"/>
          <w:color w:val="auto"/>
        </w:rPr>
      </w:pPr>
      <w:r>
        <w:rPr>
          <w:rFonts w:ascii="Arial Narrow" w:hAnsi="Arial Narrow"/>
          <w:b w:val="0"/>
          <w:bCs w:val="0"/>
          <w:color w:val="auto"/>
        </w:rPr>
        <w:t>Curt Morgan, Chief Executive Officer, Alpha</w:t>
      </w:r>
      <w:r w:rsidR="001F5376">
        <w:rPr>
          <w:rFonts w:ascii="Arial Narrow" w:hAnsi="Arial Narrow"/>
          <w:b w:val="0"/>
          <w:bCs w:val="0"/>
          <w:color w:val="auto"/>
        </w:rPr>
        <w:t xml:space="preserve"> G</w:t>
      </w:r>
      <w:r>
        <w:rPr>
          <w:rFonts w:ascii="Arial Narrow" w:hAnsi="Arial Narrow"/>
          <w:b w:val="0"/>
          <w:bCs w:val="0"/>
          <w:color w:val="auto"/>
        </w:rPr>
        <w:t>en</w:t>
      </w:r>
      <w:r w:rsidR="001F5376">
        <w:rPr>
          <w:rFonts w:ascii="Arial Narrow" w:hAnsi="Arial Narrow"/>
          <w:b w:val="0"/>
          <w:bCs w:val="0"/>
          <w:color w:val="auto"/>
        </w:rPr>
        <w:t>eration</w:t>
      </w:r>
    </w:p>
    <w:p w:rsidR="00493D4D" w:rsidP="00733935" w14:paraId="43C800F9" w14:textId="43DBF46E">
      <w:pPr>
        <w:pStyle w:val="Level1Number"/>
      </w:pPr>
      <w:r>
        <w:t>PJM Strategy Refresh Update (3:</w:t>
      </w:r>
      <w:r w:rsidR="00C24EAC">
        <w:t>55</w:t>
      </w:r>
      <w:r w:rsidR="00346F83">
        <w:t>–</w:t>
      </w:r>
      <w:r w:rsidR="00C24EAC">
        <w:t>4:10</w:t>
      </w:r>
      <w:r w:rsidR="00346F83">
        <w:t xml:space="preserve"> p.m.</w:t>
      </w:r>
      <w:r>
        <w:t>)</w:t>
      </w:r>
    </w:p>
    <w:p w:rsidR="00493D4D" w:rsidP="00493D4D" w14:paraId="5D0E0CA3" w14:textId="392A309A">
      <w:pPr>
        <w:spacing w:after="120"/>
        <w:ind w:left="360"/>
      </w:pPr>
      <w:r>
        <w:t>Aftab Kahn will provide an update on the PJM Strategy refresh effort.</w:t>
      </w:r>
    </w:p>
    <w:p w:rsidR="00733935" w:rsidRPr="00217D47" w:rsidP="00733935" w14:paraId="096092BA" w14:textId="2DE29E63">
      <w:pPr>
        <w:pStyle w:val="Level1Number"/>
      </w:pPr>
      <w:r w:rsidRPr="00217D47">
        <w:t>Report</w:t>
      </w:r>
      <w:r w:rsidR="0003348C">
        <w:t>s</w:t>
      </w:r>
      <w:r w:rsidRPr="00217D47">
        <w:t xml:space="preserve"> </w:t>
      </w:r>
      <w:r w:rsidR="00907D3D">
        <w:t>(</w:t>
      </w:r>
      <w:r w:rsidR="00C24EAC">
        <w:t>4:10</w:t>
      </w:r>
      <w:r w:rsidR="00346F83">
        <w:t>–</w:t>
      </w:r>
      <w:r w:rsidR="00C24EAC">
        <w:t>4</w:t>
      </w:r>
      <w:r w:rsidR="00CD5726">
        <w:t>:</w:t>
      </w:r>
      <w:r w:rsidR="00C24EAC">
        <w:t>20</w:t>
      </w:r>
      <w:r w:rsidR="00346F83">
        <w:t xml:space="preserve"> p.m.</w:t>
      </w:r>
      <w:r w:rsidR="00907D3D">
        <w:t>)</w:t>
      </w:r>
    </w:p>
    <w:p w:rsidR="00733935" w:rsidRPr="00217D47" w:rsidP="00FF1589" w14:paraId="58E99BEC" w14:textId="24195762">
      <w:pPr>
        <w:pStyle w:val="Level2Numbering"/>
        <w:numPr>
          <w:ilvl w:val="0"/>
          <w:numId w:val="22"/>
        </w:numPr>
      </w:pPr>
      <w:r w:rsidRPr="00217D47">
        <w:t xml:space="preserve">Provide an update on Members Committee Annual Plan </w:t>
      </w:r>
      <w:r w:rsidRPr="00FF1589">
        <w:rPr>
          <w:i/>
        </w:rPr>
        <w:t xml:space="preserve">– </w:t>
      </w:r>
      <w:r w:rsidRPr="00FF1589" w:rsidR="000403FD">
        <w:rPr>
          <w:i/>
        </w:rPr>
        <w:t>Jordan Nader</w:t>
      </w:r>
    </w:p>
    <w:p w:rsidR="00733935" w:rsidRPr="00CD5726" w:rsidP="00C24EAC" w14:paraId="150F88F9" w14:textId="7B3A1D9E">
      <w:pPr>
        <w:pStyle w:val="Level2Numbering"/>
      </w:pPr>
      <w:r>
        <w:t xml:space="preserve">Review the May </w:t>
      </w:r>
      <w:r w:rsidR="00873762">
        <w:t>1</w:t>
      </w:r>
      <w:r w:rsidR="000403FD">
        <w:t>1</w:t>
      </w:r>
      <w:r>
        <w:t>, 202</w:t>
      </w:r>
      <w:r w:rsidR="000403FD">
        <w:t>6</w:t>
      </w:r>
      <w:r w:rsidR="001E7EC1">
        <w:t>,</w:t>
      </w:r>
      <w:r w:rsidR="00B35CD1">
        <w:t xml:space="preserve"> meeting </w:t>
      </w:r>
      <w:r w:rsidRPr="00217D47" w:rsidR="00B35CD1">
        <w:t xml:space="preserve">Liaison Committee meeting with the PJM Board of Managers </w:t>
      </w:r>
      <w:r w:rsidRPr="00217D47" w:rsidR="00B35CD1">
        <w:rPr>
          <w:i/>
        </w:rPr>
        <w:t xml:space="preserve">– </w:t>
      </w:r>
      <w:r w:rsidR="000403FD">
        <w:rPr>
          <w:i/>
        </w:rPr>
        <w:t>Jordan Nader</w:t>
      </w:r>
    </w:p>
    <w:p w:rsidR="00C5277C" w:rsidP="00695AE9" w14:paraId="5E0F6E45" w14:textId="09C2C25E">
      <w:pPr>
        <w:pStyle w:val="Level1Number"/>
        <w:spacing w:before="0"/>
      </w:pPr>
      <w:r w:rsidRPr="00C5277C">
        <w:t>Announcement of Election Results and Welcome of Board Members</w:t>
      </w:r>
      <w:r>
        <w:t xml:space="preserve"> (</w:t>
      </w:r>
      <w:r w:rsidR="00C24EAC">
        <w:t>4:20-4:25</w:t>
      </w:r>
      <w:r w:rsidR="00346F83">
        <w:t xml:space="preserve"> p.m.</w:t>
      </w:r>
      <w:r>
        <w:t>)</w:t>
      </w:r>
    </w:p>
    <w:p w:rsidR="00695AE9" w:rsidRPr="009E3888" w:rsidP="009E3888" w14:paraId="48A5A18B" w14:textId="12AB319F">
      <w:pPr>
        <w:pStyle w:val="Level1Number"/>
        <w:spacing w:before="0"/>
      </w:pPr>
      <w:r>
        <w:t>Future Agenda Items</w:t>
      </w:r>
      <w:r w:rsidR="00FE7DE4">
        <w:t xml:space="preserve"> </w:t>
      </w:r>
      <w:r>
        <w:t>(</w:t>
      </w:r>
      <w:r w:rsidR="00C24EAC">
        <w:t>4:25</w:t>
      </w:r>
      <w:r w:rsidR="00346F83">
        <w:t xml:space="preserve"> p.m.</w:t>
      </w:r>
      <w:r>
        <w:t>)</w:t>
      </w:r>
    </w:p>
    <w:p w:rsidR="00733935" w:rsidRPr="00217D47" w:rsidP="0083249B" w14:paraId="15333202" w14:textId="77777777">
      <w:pPr>
        <w:pStyle w:val="Level1Number"/>
        <w:spacing w:before="0"/>
      </w:pPr>
      <w:r w:rsidRPr="00217D47">
        <w:t>Future Meetings</w:t>
      </w:r>
    </w:p>
    <w:tbl>
      <w:tblPr>
        <w:tblStyle w:val="GridTable3Accent5"/>
        <w:tblW w:w="936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900"/>
        <w:gridCol w:w="3361"/>
        <w:gridCol w:w="1785"/>
        <w:gridCol w:w="12"/>
        <w:gridCol w:w="1592"/>
      </w:tblGrid>
      <w:tr w14:paraId="1B43DEBB" w14:textId="77777777" w:rsidTr="00CC2A20">
        <w:tblPrEx>
          <w:tblW w:w="936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71"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CC2A20" w:rsidRPr="003C3320" w:rsidP="004B09DF" w14:paraId="143AE43D" w14:textId="77777777">
            <w:pPr>
              <w:pStyle w:val="PrimaryHeading"/>
              <w:keepNext w:val="0"/>
              <w:keepLines/>
              <w:spacing w:after="0"/>
            </w:pPr>
            <w:r w:rsidRPr="00DF1112">
              <w:rPr>
                <w:b/>
                <w:i w:val="0"/>
                <w:iCs w:val="0"/>
              </w:rPr>
              <w:t>Future Meeting Dates and Materials</w:t>
            </w:r>
          </w:p>
        </w:tc>
        <w:tc>
          <w:tcPr>
            <w:tcW w:w="1797" w:type="dxa"/>
            <w:gridSpan w:val="2"/>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CC2A20" w:rsidRPr="00DA23DE" w:rsidP="004B09DF" w14:paraId="3252A63E"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92"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CC2A20" w:rsidRPr="00DA23DE" w:rsidP="004B09DF" w14:paraId="27C06733"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63649C7E" w14:textId="77777777" w:rsidTr="00CC2A20">
        <w:tblPrEx>
          <w:tblW w:w="9360" w:type="dxa"/>
          <w:tblInd w:w="612" w:type="dxa"/>
          <w:tblLook w:val="04A0"/>
        </w:tblPrEx>
        <w:trPr>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C2A20" w:rsidRPr="00BB6921" w:rsidP="004B09DF" w14:paraId="15C45F30"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C2A20" w:rsidRPr="00BB6921" w:rsidP="004B09DF" w14:paraId="29847135" w14:textId="77777777">
            <w:pPr>
              <w:pStyle w:val="DisclaimerHeading"/>
              <w:keepLines/>
              <w:spacing w:after="60"/>
              <w:jc w:val="center"/>
              <w:rPr>
                <w:color w:val="auto"/>
                <w:sz w:val="19"/>
                <w:szCs w:val="19"/>
              </w:rPr>
            </w:pPr>
            <w:r w:rsidRPr="00BB6921">
              <w:rPr>
                <w:color w:val="auto"/>
                <w:sz w:val="19"/>
                <w:szCs w:val="19"/>
              </w:rPr>
              <w:t>Time</w:t>
            </w:r>
          </w:p>
        </w:tc>
        <w:tc>
          <w:tcPr>
            <w:tcW w:w="3361"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C2A20" w:rsidRPr="00BB6921" w:rsidP="004B09DF" w14:paraId="58F7BDA4" w14:textId="77777777">
            <w:pPr>
              <w:pStyle w:val="DisclaimerHeading"/>
              <w:keepLines/>
              <w:spacing w:after="60"/>
              <w:jc w:val="center"/>
              <w:rPr>
                <w:color w:val="auto"/>
                <w:sz w:val="19"/>
                <w:szCs w:val="19"/>
              </w:rPr>
            </w:pPr>
            <w:r w:rsidRPr="00BB6921">
              <w:rPr>
                <w:color w:val="auto"/>
                <w:sz w:val="19"/>
                <w:szCs w:val="19"/>
              </w:rPr>
              <w:t>Location</w:t>
            </w:r>
          </w:p>
        </w:tc>
        <w:tc>
          <w:tcPr>
            <w:tcW w:w="1797" w:type="dxa"/>
            <w:gridSpan w:val="2"/>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C2A20" w:rsidRPr="00C10A93" w:rsidP="004B09DF" w14:paraId="3333300B" w14:textId="77777777">
            <w:pPr>
              <w:pStyle w:val="DisclaimerHeading"/>
              <w:keepLines/>
              <w:jc w:val="center"/>
              <w:rPr>
                <w:color w:val="FFFFFF" w:themeColor="background1"/>
                <w:sz w:val="19"/>
                <w:szCs w:val="19"/>
              </w:rPr>
            </w:pPr>
          </w:p>
        </w:tc>
        <w:tc>
          <w:tcPr>
            <w:tcW w:w="1592"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C2A20" w:rsidRPr="00C10A93" w:rsidP="004B09DF" w14:paraId="4DC6EC50" w14:textId="77777777">
            <w:pPr>
              <w:pStyle w:val="DisclaimerHeading"/>
              <w:keepLines/>
              <w:jc w:val="center"/>
              <w:rPr>
                <w:color w:val="FFFFFF" w:themeColor="background1"/>
                <w:sz w:val="19"/>
                <w:szCs w:val="19"/>
              </w:rPr>
            </w:pPr>
          </w:p>
        </w:tc>
      </w:tr>
      <w:tr w14:paraId="707D0CE2" w14:textId="77777777" w:rsidTr="00CC2A20">
        <w:tblPrEx>
          <w:tblW w:w="9360" w:type="dxa"/>
          <w:tblInd w:w="612" w:type="dxa"/>
          <w:tblLook w:val="04A0"/>
        </w:tblPrEx>
        <w:trPr>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C2A20" w:rsidRPr="00BB6921" w:rsidP="004B09DF" w14:paraId="25D4690A"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C2A20" w:rsidRPr="00C10A93" w:rsidP="004B09DF" w14:paraId="60CE6140" w14:textId="77777777">
            <w:pPr>
              <w:pStyle w:val="DisclaimerHeading"/>
              <w:keepLines/>
              <w:spacing w:before="40" w:after="40" w:line="220" w:lineRule="exact"/>
              <w:rPr>
                <w:b w:val="0"/>
                <w:color w:val="auto"/>
                <w:sz w:val="18"/>
                <w:szCs w:val="18"/>
              </w:rPr>
            </w:pPr>
          </w:p>
        </w:tc>
        <w:tc>
          <w:tcPr>
            <w:tcW w:w="3361" w:type="dxa"/>
            <w:vMerge/>
            <w:tcBorders>
              <w:top w:val="single" w:sz="12" w:space="0" w:color="013366" w:themeColor="accent1"/>
              <w:left w:val="single" w:sz="6" w:space="0" w:color="FFFFFF" w:themeColor="background1"/>
              <w:right w:val="single" w:sz="8" w:space="0" w:color="auto"/>
            </w:tcBorders>
          </w:tcPr>
          <w:p w:rsidR="00CC2A20" w:rsidRPr="00C10A93" w:rsidP="004B09DF" w14:paraId="6875AC10" w14:textId="77777777">
            <w:pPr>
              <w:pStyle w:val="AttendeesList"/>
              <w:keepLines/>
              <w:spacing w:before="40" w:after="40" w:line="220" w:lineRule="exact"/>
              <w:rPr>
                <w:szCs w:val="18"/>
              </w:rPr>
            </w:pPr>
          </w:p>
        </w:tc>
        <w:tc>
          <w:tcPr>
            <w:tcW w:w="3389" w:type="dxa"/>
            <w:gridSpan w:val="3"/>
            <w:tcBorders>
              <w:top w:val="single" w:sz="6" w:space="0" w:color="FFFFFF" w:themeColor="background1"/>
              <w:left w:val="single" w:sz="4" w:space="0" w:color="auto"/>
              <w:right w:val="single" w:sz="4" w:space="0" w:color="auto"/>
            </w:tcBorders>
            <w:shd w:val="clear" w:color="auto" w:fill="013366" w:themeFill="accent1"/>
          </w:tcPr>
          <w:p w:rsidR="00CC2A20" w:rsidRPr="00CE451E" w:rsidP="004B09DF" w14:paraId="0556DD86" w14:textId="02F4D31D">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 p.m. EPT deadline*</w:t>
            </w:r>
          </w:p>
        </w:tc>
      </w:tr>
      <w:tr w14:paraId="1456A2ED" w14:textId="77777777" w:rsidTr="00CC2A20">
        <w:tblPrEx>
          <w:tblW w:w="9360" w:type="dxa"/>
          <w:tblInd w:w="612" w:type="dxa"/>
          <w:tblLook w:val="04A0"/>
        </w:tblPrEx>
        <w:trPr>
          <w:trHeight w:val="331"/>
        </w:trPr>
        <w:tc>
          <w:tcPr>
            <w:tcW w:w="1710" w:type="dxa"/>
            <w:tcBorders>
              <w:top w:val="single" w:sz="4" w:space="0" w:color="auto"/>
              <w:right w:val="single" w:sz="4" w:space="0" w:color="auto"/>
            </w:tcBorders>
            <w:shd w:val="clear" w:color="auto" w:fill="E1F6FF"/>
          </w:tcPr>
          <w:p w:rsidR="00012262" w:rsidP="004B09DF" w14:paraId="7186C5E7" w14:textId="282A03FF">
            <w:pPr>
              <w:pStyle w:val="DisclaimerHeading"/>
              <w:spacing w:before="40" w:after="40" w:line="220" w:lineRule="exact"/>
              <w:rPr>
                <w:bCs/>
                <w:sz w:val="18"/>
                <w:szCs w:val="18"/>
              </w:rPr>
            </w:pPr>
            <w:r>
              <w:rPr>
                <w:bCs/>
                <w:sz w:val="18"/>
                <w:szCs w:val="18"/>
              </w:rPr>
              <w:t>May 27, 2026</w:t>
            </w:r>
          </w:p>
        </w:tc>
        <w:tc>
          <w:tcPr>
            <w:tcW w:w="900" w:type="dxa"/>
            <w:tcBorders>
              <w:top w:val="single" w:sz="4" w:space="0" w:color="auto"/>
              <w:left w:val="single" w:sz="4" w:space="0" w:color="auto"/>
              <w:right w:val="single" w:sz="4" w:space="0" w:color="auto"/>
            </w:tcBorders>
          </w:tcPr>
          <w:p w:rsidR="00012262" w:rsidP="004B09DF" w14:paraId="5A631066" w14:textId="198C323D">
            <w:pPr>
              <w:pStyle w:val="DisclaimerHeading"/>
              <w:spacing w:before="40" w:after="40" w:line="220" w:lineRule="exact"/>
              <w:rPr>
                <w:b w:val="0"/>
                <w:color w:val="auto"/>
                <w:sz w:val="18"/>
                <w:szCs w:val="18"/>
              </w:rPr>
            </w:pPr>
            <w:r>
              <w:rPr>
                <w:b w:val="0"/>
                <w:color w:val="auto"/>
                <w:sz w:val="18"/>
                <w:szCs w:val="18"/>
              </w:rPr>
              <w:t>1 p.m.</w:t>
            </w:r>
          </w:p>
        </w:tc>
        <w:tc>
          <w:tcPr>
            <w:tcW w:w="3361" w:type="dxa"/>
            <w:tcBorders>
              <w:top w:val="single" w:sz="4" w:space="0" w:color="auto"/>
              <w:left w:val="single" w:sz="4" w:space="0" w:color="auto"/>
              <w:right w:val="single" w:sz="4" w:space="0" w:color="auto"/>
            </w:tcBorders>
          </w:tcPr>
          <w:p w:rsidR="00012262" w:rsidP="004B09DF" w14:paraId="2578FF09" w14:textId="408821A1">
            <w:pPr>
              <w:pStyle w:val="DisclaimerHeading"/>
              <w:spacing w:before="40" w:after="40" w:line="220" w:lineRule="exact"/>
              <w:rPr>
                <w:b w:val="0"/>
                <w:color w:val="auto"/>
                <w:sz w:val="18"/>
                <w:szCs w:val="18"/>
              </w:rPr>
            </w:pPr>
            <w:r>
              <w:rPr>
                <w:b w:val="0"/>
                <w:color w:val="auto"/>
                <w:sz w:val="18"/>
                <w:szCs w:val="18"/>
              </w:rPr>
              <w:t>PJM Conference &amp; Training Center and Web</w:t>
            </w:r>
            <w:r w:rsidR="00346F83">
              <w:rPr>
                <w:b w:val="0"/>
                <w:color w:val="auto"/>
                <w:sz w:val="18"/>
                <w:szCs w:val="18"/>
              </w:rPr>
              <w:t>e</w:t>
            </w:r>
            <w:r>
              <w:rPr>
                <w:b w:val="0"/>
                <w:color w:val="auto"/>
                <w:sz w:val="18"/>
                <w:szCs w:val="18"/>
              </w:rPr>
              <w:t>x</w:t>
            </w:r>
          </w:p>
        </w:tc>
        <w:tc>
          <w:tcPr>
            <w:tcW w:w="1785" w:type="dxa"/>
            <w:tcBorders>
              <w:top w:val="single" w:sz="4" w:space="0" w:color="auto"/>
              <w:left w:val="single" w:sz="4" w:space="0" w:color="auto"/>
              <w:right w:val="single" w:sz="4" w:space="0" w:color="auto"/>
            </w:tcBorders>
          </w:tcPr>
          <w:p w:rsidR="00012262" w:rsidP="004B09DF" w14:paraId="2DDCB7EA" w14:textId="076A4A46">
            <w:pPr>
              <w:pStyle w:val="DisclaimerHeading"/>
              <w:spacing w:before="40" w:after="40" w:line="220" w:lineRule="exact"/>
              <w:jc w:val="center"/>
              <w:rPr>
                <w:b w:val="0"/>
                <w:color w:val="auto"/>
                <w:sz w:val="18"/>
                <w:szCs w:val="18"/>
              </w:rPr>
            </w:pPr>
            <w:r>
              <w:rPr>
                <w:b w:val="0"/>
                <w:color w:val="auto"/>
                <w:sz w:val="18"/>
                <w:szCs w:val="18"/>
              </w:rPr>
              <w:t>May 15, 2026</w:t>
            </w:r>
          </w:p>
        </w:tc>
        <w:tc>
          <w:tcPr>
            <w:tcW w:w="1604" w:type="dxa"/>
            <w:gridSpan w:val="2"/>
            <w:tcBorders>
              <w:top w:val="single" w:sz="4" w:space="0" w:color="auto"/>
              <w:left w:val="single" w:sz="4" w:space="0" w:color="auto"/>
              <w:right w:val="single" w:sz="4" w:space="0" w:color="auto"/>
            </w:tcBorders>
          </w:tcPr>
          <w:p w:rsidR="00012262" w:rsidP="004B09DF" w14:paraId="078855F7" w14:textId="7921F0B4">
            <w:pPr>
              <w:pStyle w:val="DisclaimerHeading"/>
              <w:spacing w:before="40" w:after="40" w:line="220" w:lineRule="exact"/>
              <w:jc w:val="center"/>
              <w:rPr>
                <w:b w:val="0"/>
                <w:color w:val="auto"/>
                <w:sz w:val="18"/>
                <w:szCs w:val="18"/>
              </w:rPr>
            </w:pPr>
            <w:r>
              <w:rPr>
                <w:b w:val="0"/>
                <w:color w:val="auto"/>
                <w:sz w:val="18"/>
                <w:szCs w:val="18"/>
              </w:rPr>
              <w:t>May 20, 2026</w:t>
            </w:r>
          </w:p>
        </w:tc>
      </w:tr>
      <w:tr w14:paraId="525BDAFF" w14:textId="77777777" w:rsidTr="00CC2A20">
        <w:tblPrEx>
          <w:tblW w:w="9360" w:type="dxa"/>
          <w:tblInd w:w="612" w:type="dxa"/>
          <w:tblLook w:val="04A0"/>
        </w:tblPrEx>
        <w:trPr>
          <w:trHeight w:val="331"/>
        </w:trPr>
        <w:tc>
          <w:tcPr>
            <w:tcW w:w="1710" w:type="dxa"/>
            <w:tcBorders>
              <w:top w:val="single" w:sz="4" w:space="0" w:color="auto"/>
              <w:right w:val="single" w:sz="4" w:space="0" w:color="auto"/>
            </w:tcBorders>
            <w:shd w:val="clear" w:color="auto" w:fill="E1F6FF"/>
          </w:tcPr>
          <w:p w:rsidR="00CC2A20" w:rsidP="004B09DF" w14:paraId="42892002" w14:textId="77777777">
            <w:pPr>
              <w:pStyle w:val="DisclaimerHeading"/>
              <w:spacing w:before="40" w:after="40" w:line="220" w:lineRule="exact"/>
              <w:rPr>
                <w:bCs/>
                <w:sz w:val="18"/>
                <w:szCs w:val="18"/>
              </w:rPr>
            </w:pPr>
            <w:r>
              <w:rPr>
                <w:bCs/>
                <w:sz w:val="18"/>
                <w:szCs w:val="18"/>
              </w:rPr>
              <w:t>June 24, 2026</w:t>
            </w:r>
          </w:p>
        </w:tc>
        <w:tc>
          <w:tcPr>
            <w:tcW w:w="900" w:type="dxa"/>
            <w:tcBorders>
              <w:top w:val="single" w:sz="4" w:space="0" w:color="auto"/>
              <w:left w:val="single" w:sz="4" w:space="0" w:color="auto"/>
              <w:right w:val="single" w:sz="4" w:space="0" w:color="auto"/>
            </w:tcBorders>
          </w:tcPr>
          <w:p w:rsidR="00CC2A20" w:rsidP="004B09DF" w14:paraId="219DD0E8" w14:textId="77777777">
            <w:pPr>
              <w:pStyle w:val="DisclaimerHeading"/>
              <w:spacing w:before="40" w:after="40" w:line="220" w:lineRule="exact"/>
              <w:rPr>
                <w:b w:val="0"/>
                <w:color w:val="auto"/>
                <w:sz w:val="18"/>
                <w:szCs w:val="18"/>
              </w:rPr>
            </w:pPr>
            <w:r>
              <w:rPr>
                <w:b w:val="0"/>
                <w:color w:val="auto"/>
                <w:sz w:val="18"/>
                <w:szCs w:val="18"/>
              </w:rPr>
              <w:t xml:space="preserve">1:15 p.m. </w:t>
            </w:r>
          </w:p>
        </w:tc>
        <w:tc>
          <w:tcPr>
            <w:tcW w:w="3361" w:type="dxa"/>
            <w:tcBorders>
              <w:top w:val="single" w:sz="4" w:space="0" w:color="auto"/>
              <w:left w:val="single" w:sz="4" w:space="0" w:color="auto"/>
              <w:right w:val="single" w:sz="4" w:space="0" w:color="auto"/>
            </w:tcBorders>
          </w:tcPr>
          <w:p w:rsidR="00CC2A20" w:rsidP="004B09DF" w14:paraId="3E642880" w14:textId="101C550A">
            <w:pPr>
              <w:pStyle w:val="DisclaimerHeading"/>
              <w:spacing w:before="40" w:after="40" w:line="220" w:lineRule="exact"/>
              <w:rPr>
                <w:b w:val="0"/>
                <w:color w:val="auto"/>
                <w:sz w:val="18"/>
                <w:szCs w:val="18"/>
              </w:rPr>
            </w:pPr>
            <w:r>
              <w:rPr>
                <w:b w:val="0"/>
                <w:color w:val="auto"/>
                <w:sz w:val="18"/>
                <w:szCs w:val="18"/>
              </w:rPr>
              <w:t>PJM Conference &amp; Training Center and Web</w:t>
            </w:r>
            <w:r w:rsidR="00346F83">
              <w:rPr>
                <w:b w:val="0"/>
                <w:color w:val="auto"/>
                <w:sz w:val="18"/>
                <w:szCs w:val="18"/>
              </w:rPr>
              <w:t>e</w:t>
            </w:r>
            <w:r>
              <w:rPr>
                <w:b w:val="0"/>
                <w:color w:val="auto"/>
                <w:sz w:val="18"/>
                <w:szCs w:val="18"/>
              </w:rPr>
              <w:t>x</w:t>
            </w:r>
          </w:p>
        </w:tc>
        <w:tc>
          <w:tcPr>
            <w:tcW w:w="1785" w:type="dxa"/>
            <w:tcBorders>
              <w:top w:val="single" w:sz="4" w:space="0" w:color="auto"/>
              <w:left w:val="single" w:sz="4" w:space="0" w:color="auto"/>
              <w:right w:val="single" w:sz="4" w:space="0" w:color="auto"/>
            </w:tcBorders>
          </w:tcPr>
          <w:p w:rsidR="00CC2A20" w:rsidP="004B09DF" w14:paraId="237296A3" w14:textId="77777777">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gridSpan w:val="2"/>
            <w:tcBorders>
              <w:top w:val="single" w:sz="4" w:space="0" w:color="auto"/>
              <w:left w:val="single" w:sz="4" w:space="0" w:color="auto"/>
              <w:right w:val="single" w:sz="4" w:space="0" w:color="auto"/>
            </w:tcBorders>
          </w:tcPr>
          <w:p w:rsidR="00CC2A20" w:rsidP="004B09DF" w14:paraId="7E09A069" w14:textId="77777777">
            <w:pPr>
              <w:pStyle w:val="DisclaimerHeading"/>
              <w:spacing w:before="40" w:after="40" w:line="220" w:lineRule="exact"/>
              <w:jc w:val="center"/>
              <w:rPr>
                <w:b w:val="0"/>
                <w:color w:val="auto"/>
                <w:sz w:val="18"/>
                <w:szCs w:val="18"/>
              </w:rPr>
            </w:pPr>
            <w:r>
              <w:rPr>
                <w:b w:val="0"/>
                <w:color w:val="auto"/>
                <w:sz w:val="18"/>
                <w:szCs w:val="18"/>
              </w:rPr>
              <w:t>June 17, 2026</w:t>
            </w:r>
          </w:p>
        </w:tc>
      </w:tr>
      <w:tr w14:paraId="61019D23" w14:textId="77777777" w:rsidTr="00CC2A20">
        <w:tblPrEx>
          <w:tblW w:w="9360" w:type="dxa"/>
          <w:tblInd w:w="612" w:type="dxa"/>
          <w:tblLook w:val="04A0"/>
        </w:tblPrEx>
        <w:trPr>
          <w:trHeight w:val="331"/>
        </w:trPr>
        <w:tc>
          <w:tcPr>
            <w:tcW w:w="1710" w:type="dxa"/>
            <w:tcBorders>
              <w:top w:val="single" w:sz="4" w:space="0" w:color="auto"/>
              <w:right w:val="single" w:sz="4" w:space="0" w:color="auto"/>
            </w:tcBorders>
            <w:shd w:val="clear" w:color="auto" w:fill="E1F6FF"/>
          </w:tcPr>
          <w:p w:rsidR="00CC2A20" w:rsidP="004B09DF" w14:paraId="28ED5669" w14:textId="77777777">
            <w:pPr>
              <w:pStyle w:val="DisclaimerHeading"/>
              <w:spacing w:before="40" w:after="40" w:line="220" w:lineRule="exact"/>
              <w:rPr>
                <w:bCs/>
                <w:sz w:val="18"/>
                <w:szCs w:val="18"/>
              </w:rPr>
            </w:pPr>
            <w:r>
              <w:rPr>
                <w:bCs/>
                <w:sz w:val="18"/>
                <w:szCs w:val="18"/>
              </w:rPr>
              <w:t>June 29, 2026**</w:t>
            </w:r>
          </w:p>
        </w:tc>
        <w:tc>
          <w:tcPr>
            <w:tcW w:w="900" w:type="dxa"/>
            <w:tcBorders>
              <w:top w:val="single" w:sz="4" w:space="0" w:color="auto"/>
              <w:left w:val="single" w:sz="4" w:space="0" w:color="auto"/>
              <w:right w:val="single" w:sz="4" w:space="0" w:color="auto"/>
            </w:tcBorders>
          </w:tcPr>
          <w:p w:rsidR="00CC2A20" w:rsidP="004B09DF" w14:paraId="3418B198" w14:textId="17145097">
            <w:pPr>
              <w:pStyle w:val="DisclaimerHeading"/>
              <w:spacing w:before="40" w:after="40" w:line="220" w:lineRule="exact"/>
              <w:rPr>
                <w:b w:val="0"/>
                <w:color w:val="auto"/>
                <w:sz w:val="18"/>
                <w:szCs w:val="18"/>
              </w:rPr>
            </w:pPr>
            <w:r>
              <w:rPr>
                <w:b w:val="0"/>
                <w:color w:val="auto"/>
                <w:sz w:val="18"/>
                <w:szCs w:val="18"/>
              </w:rPr>
              <w:t>1 p.m.</w:t>
            </w:r>
          </w:p>
        </w:tc>
        <w:tc>
          <w:tcPr>
            <w:tcW w:w="3361" w:type="dxa"/>
            <w:tcBorders>
              <w:top w:val="single" w:sz="4" w:space="0" w:color="auto"/>
              <w:left w:val="single" w:sz="4" w:space="0" w:color="auto"/>
              <w:right w:val="single" w:sz="4" w:space="0" w:color="auto"/>
            </w:tcBorders>
          </w:tcPr>
          <w:p w:rsidR="00CC2A20" w:rsidP="004B09DF" w14:paraId="3261D795" w14:textId="77777777">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CC2A20" w:rsidP="004B09DF" w14:paraId="6E982DEB" w14:textId="77777777">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gridSpan w:val="2"/>
            <w:tcBorders>
              <w:top w:val="single" w:sz="4" w:space="0" w:color="auto"/>
              <w:left w:val="single" w:sz="4" w:space="0" w:color="auto"/>
              <w:right w:val="single" w:sz="4" w:space="0" w:color="auto"/>
            </w:tcBorders>
          </w:tcPr>
          <w:p w:rsidR="00CC2A20" w:rsidP="004B09DF" w14:paraId="5F267273" w14:textId="77777777">
            <w:pPr>
              <w:pStyle w:val="DisclaimerHeading"/>
              <w:spacing w:before="40" w:after="40" w:line="220" w:lineRule="exact"/>
              <w:jc w:val="center"/>
              <w:rPr>
                <w:b w:val="0"/>
                <w:color w:val="auto"/>
                <w:sz w:val="18"/>
                <w:szCs w:val="18"/>
              </w:rPr>
            </w:pPr>
            <w:r>
              <w:rPr>
                <w:b w:val="0"/>
                <w:color w:val="auto"/>
                <w:sz w:val="18"/>
                <w:szCs w:val="18"/>
              </w:rPr>
              <w:t>June 17, 2026</w:t>
            </w:r>
          </w:p>
        </w:tc>
      </w:tr>
      <w:tr w14:paraId="7FAE9B87" w14:textId="77777777" w:rsidTr="00CC2A20">
        <w:tblPrEx>
          <w:tblW w:w="9360" w:type="dxa"/>
          <w:tblInd w:w="612" w:type="dxa"/>
          <w:tblLook w:val="04A0"/>
        </w:tblPrEx>
        <w:trPr>
          <w:trHeight w:val="331"/>
        </w:trPr>
        <w:tc>
          <w:tcPr>
            <w:tcW w:w="1710" w:type="dxa"/>
            <w:tcBorders>
              <w:top w:val="single" w:sz="4" w:space="0" w:color="auto"/>
              <w:right w:val="single" w:sz="4" w:space="0" w:color="auto"/>
            </w:tcBorders>
            <w:shd w:val="clear" w:color="auto" w:fill="E1F6FF"/>
          </w:tcPr>
          <w:p w:rsidR="00CC2A20" w:rsidP="004B09DF" w14:paraId="15F62F1E" w14:textId="77777777">
            <w:pPr>
              <w:pStyle w:val="DisclaimerHeading"/>
              <w:spacing w:before="40" w:after="40" w:line="220" w:lineRule="exact"/>
              <w:rPr>
                <w:bCs/>
                <w:sz w:val="18"/>
                <w:szCs w:val="18"/>
              </w:rPr>
            </w:pPr>
            <w:r>
              <w:rPr>
                <w:bCs/>
                <w:sz w:val="18"/>
                <w:szCs w:val="18"/>
              </w:rPr>
              <w:t>July 23, 2026</w:t>
            </w:r>
          </w:p>
        </w:tc>
        <w:tc>
          <w:tcPr>
            <w:tcW w:w="900" w:type="dxa"/>
            <w:tcBorders>
              <w:top w:val="single" w:sz="4" w:space="0" w:color="auto"/>
              <w:left w:val="single" w:sz="4" w:space="0" w:color="auto"/>
              <w:right w:val="single" w:sz="4" w:space="0" w:color="auto"/>
            </w:tcBorders>
          </w:tcPr>
          <w:p w:rsidR="00CC2A20" w:rsidP="004B09DF" w14:paraId="207A5EDA"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CC2A20" w:rsidP="004B09DF" w14:paraId="11959994" w14:textId="70DD32E9">
            <w:pPr>
              <w:pStyle w:val="DisclaimerHeading"/>
              <w:spacing w:before="40" w:after="40" w:line="220" w:lineRule="exact"/>
              <w:rPr>
                <w:b w:val="0"/>
                <w:color w:val="auto"/>
                <w:sz w:val="18"/>
                <w:szCs w:val="18"/>
              </w:rPr>
            </w:pPr>
            <w:r>
              <w:rPr>
                <w:b w:val="0"/>
                <w:color w:val="auto"/>
                <w:sz w:val="18"/>
                <w:szCs w:val="18"/>
              </w:rPr>
              <w:t>PJM Conference &amp; Training Center and Web</w:t>
            </w:r>
            <w:r w:rsidR="00346F83">
              <w:rPr>
                <w:b w:val="0"/>
                <w:color w:val="auto"/>
                <w:sz w:val="18"/>
                <w:szCs w:val="18"/>
              </w:rPr>
              <w:t>e</w:t>
            </w:r>
            <w:r>
              <w:rPr>
                <w:b w:val="0"/>
                <w:color w:val="auto"/>
                <w:sz w:val="18"/>
                <w:szCs w:val="18"/>
              </w:rPr>
              <w:t>x</w:t>
            </w:r>
          </w:p>
        </w:tc>
        <w:tc>
          <w:tcPr>
            <w:tcW w:w="1785" w:type="dxa"/>
            <w:tcBorders>
              <w:top w:val="single" w:sz="4" w:space="0" w:color="auto"/>
              <w:left w:val="single" w:sz="4" w:space="0" w:color="auto"/>
              <w:right w:val="single" w:sz="4" w:space="0" w:color="auto"/>
            </w:tcBorders>
          </w:tcPr>
          <w:p w:rsidR="00CC2A20" w:rsidP="004B09DF" w14:paraId="33318813" w14:textId="77777777">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gridSpan w:val="2"/>
            <w:tcBorders>
              <w:top w:val="single" w:sz="4" w:space="0" w:color="auto"/>
              <w:left w:val="single" w:sz="4" w:space="0" w:color="auto"/>
              <w:right w:val="single" w:sz="4" w:space="0" w:color="auto"/>
            </w:tcBorders>
          </w:tcPr>
          <w:p w:rsidR="00CC2A20" w:rsidP="004B09DF" w14:paraId="0E3E1B6B" w14:textId="77777777">
            <w:pPr>
              <w:pStyle w:val="DisclaimerHeading"/>
              <w:spacing w:before="40" w:after="40" w:line="220" w:lineRule="exact"/>
              <w:jc w:val="center"/>
              <w:rPr>
                <w:b w:val="0"/>
                <w:color w:val="auto"/>
                <w:sz w:val="18"/>
                <w:szCs w:val="18"/>
              </w:rPr>
            </w:pPr>
            <w:r>
              <w:rPr>
                <w:b w:val="0"/>
                <w:color w:val="auto"/>
                <w:sz w:val="18"/>
                <w:szCs w:val="18"/>
              </w:rPr>
              <w:t>July 16, 2026</w:t>
            </w:r>
          </w:p>
        </w:tc>
      </w:tr>
      <w:tr w14:paraId="2D17D26D" w14:textId="77777777" w:rsidTr="00CC2A20">
        <w:tblPrEx>
          <w:tblW w:w="9360" w:type="dxa"/>
          <w:tblInd w:w="612" w:type="dxa"/>
          <w:tblLook w:val="04A0"/>
        </w:tblPrEx>
        <w:trPr>
          <w:trHeight w:val="331"/>
        </w:trPr>
        <w:tc>
          <w:tcPr>
            <w:tcW w:w="1710" w:type="dxa"/>
            <w:tcBorders>
              <w:top w:val="single" w:sz="4" w:space="0" w:color="auto"/>
              <w:right w:val="single" w:sz="4" w:space="0" w:color="auto"/>
            </w:tcBorders>
            <w:shd w:val="clear" w:color="auto" w:fill="E1F6FF"/>
          </w:tcPr>
          <w:p w:rsidR="00CC2A20" w:rsidP="004B09DF" w14:paraId="68918B11" w14:textId="77777777">
            <w:pPr>
              <w:pStyle w:val="DisclaimerHeading"/>
              <w:spacing w:before="40" w:after="40" w:line="220" w:lineRule="exact"/>
              <w:rPr>
                <w:bCs/>
                <w:sz w:val="18"/>
                <w:szCs w:val="18"/>
              </w:rPr>
            </w:pPr>
            <w:r>
              <w:rPr>
                <w:bCs/>
                <w:sz w:val="18"/>
                <w:szCs w:val="18"/>
              </w:rPr>
              <w:t>July 27, 2026**</w:t>
            </w:r>
          </w:p>
        </w:tc>
        <w:tc>
          <w:tcPr>
            <w:tcW w:w="900" w:type="dxa"/>
            <w:tcBorders>
              <w:top w:val="single" w:sz="4" w:space="0" w:color="auto"/>
              <w:left w:val="single" w:sz="4" w:space="0" w:color="auto"/>
              <w:right w:val="single" w:sz="4" w:space="0" w:color="auto"/>
            </w:tcBorders>
          </w:tcPr>
          <w:p w:rsidR="00CC2A20" w:rsidP="004B09DF" w14:paraId="32910349" w14:textId="48FC70EF">
            <w:pPr>
              <w:pStyle w:val="DisclaimerHeading"/>
              <w:spacing w:before="40" w:after="40" w:line="220" w:lineRule="exact"/>
              <w:rPr>
                <w:b w:val="0"/>
                <w:color w:val="auto"/>
                <w:sz w:val="18"/>
                <w:szCs w:val="18"/>
              </w:rPr>
            </w:pPr>
            <w:r>
              <w:rPr>
                <w:b w:val="0"/>
                <w:color w:val="auto"/>
                <w:sz w:val="18"/>
                <w:szCs w:val="18"/>
              </w:rPr>
              <w:t>1 p.m.</w:t>
            </w:r>
          </w:p>
        </w:tc>
        <w:tc>
          <w:tcPr>
            <w:tcW w:w="3361" w:type="dxa"/>
            <w:tcBorders>
              <w:top w:val="single" w:sz="4" w:space="0" w:color="auto"/>
              <w:left w:val="single" w:sz="4" w:space="0" w:color="auto"/>
              <w:right w:val="single" w:sz="4" w:space="0" w:color="auto"/>
            </w:tcBorders>
          </w:tcPr>
          <w:p w:rsidR="00CC2A20" w:rsidP="004B09DF" w14:paraId="0037E7E2" w14:textId="77777777">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CC2A20" w:rsidP="004B09DF" w14:paraId="7BC76CD7" w14:textId="77777777">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gridSpan w:val="2"/>
            <w:tcBorders>
              <w:top w:val="single" w:sz="4" w:space="0" w:color="auto"/>
              <w:left w:val="single" w:sz="4" w:space="0" w:color="auto"/>
              <w:right w:val="single" w:sz="4" w:space="0" w:color="auto"/>
            </w:tcBorders>
          </w:tcPr>
          <w:p w:rsidR="00CC2A20" w:rsidP="004B09DF" w14:paraId="2CA76699" w14:textId="77777777">
            <w:pPr>
              <w:pStyle w:val="DisclaimerHeading"/>
              <w:spacing w:before="40" w:after="40" w:line="220" w:lineRule="exact"/>
              <w:jc w:val="center"/>
              <w:rPr>
                <w:b w:val="0"/>
                <w:color w:val="auto"/>
                <w:sz w:val="18"/>
                <w:szCs w:val="18"/>
              </w:rPr>
            </w:pPr>
            <w:r>
              <w:rPr>
                <w:b w:val="0"/>
                <w:color w:val="auto"/>
                <w:sz w:val="18"/>
                <w:szCs w:val="18"/>
              </w:rPr>
              <w:t>July 16, 2026</w:t>
            </w:r>
          </w:p>
        </w:tc>
      </w:tr>
      <w:tr w14:paraId="266C999E" w14:textId="77777777" w:rsidTr="00CC2A20">
        <w:tblPrEx>
          <w:tblW w:w="9360" w:type="dxa"/>
          <w:tblInd w:w="612" w:type="dxa"/>
          <w:tblLook w:val="04A0"/>
        </w:tblPrEx>
        <w:trPr>
          <w:trHeight w:val="331"/>
        </w:trPr>
        <w:tc>
          <w:tcPr>
            <w:tcW w:w="1710" w:type="dxa"/>
            <w:tcBorders>
              <w:top w:val="single" w:sz="4" w:space="0" w:color="auto"/>
              <w:right w:val="single" w:sz="4" w:space="0" w:color="auto"/>
            </w:tcBorders>
            <w:shd w:val="clear" w:color="auto" w:fill="E1F6FF"/>
          </w:tcPr>
          <w:p w:rsidR="00CC2A20" w:rsidP="004B09DF" w14:paraId="05F06715" w14:textId="77777777">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right w:val="single" w:sz="4" w:space="0" w:color="auto"/>
            </w:tcBorders>
          </w:tcPr>
          <w:p w:rsidR="00CC2A20" w:rsidP="004B09DF" w14:paraId="72AF4F0B"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CC2A20" w:rsidP="004B09DF" w14:paraId="4A783E99" w14:textId="2D480764">
            <w:pPr>
              <w:pStyle w:val="DisclaimerHeading"/>
              <w:spacing w:before="40" w:after="40" w:line="220" w:lineRule="exact"/>
              <w:rPr>
                <w:b w:val="0"/>
                <w:color w:val="auto"/>
                <w:sz w:val="18"/>
                <w:szCs w:val="18"/>
              </w:rPr>
            </w:pPr>
            <w:r>
              <w:rPr>
                <w:b w:val="0"/>
                <w:color w:val="auto"/>
                <w:sz w:val="18"/>
                <w:szCs w:val="18"/>
              </w:rPr>
              <w:t>PJM Conference &amp; Training Center and Web</w:t>
            </w:r>
            <w:r w:rsidR="00346F83">
              <w:rPr>
                <w:b w:val="0"/>
                <w:color w:val="auto"/>
                <w:sz w:val="18"/>
                <w:szCs w:val="18"/>
              </w:rPr>
              <w:t>e</w:t>
            </w:r>
            <w:r>
              <w:rPr>
                <w:b w:val="0"/>
                <w:color w:val="auto"/>
                <w:sz w:val="18"/>
                <w:szCs w:val="18"/>
              </w:rPr>
              <w:t>x</w:t>
            </w:r>
          </w:p>
        </w:tc>
        <w:tc>
          <w:tcPr>
            <w:tcW w:w="1785" w:type="dxa"/>
            <w:tcBorders>
              <w:top w:val="single" w:sz="4" w:space="0" w:color="auto"/>
              <w:left w:val="single" w:sz="4" w:space="0" w:color="auto"/>
              <w:right w:val="single" w:sz="4" w:space="0" w:color="auto"/>
            </w:tcBorders>
          </w:tcPr>
          <w:p w:rsidR="00CC2A20" w:rsidP="004B09DF" w14:paraId="0206591D" w14:textId="77777777">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gridSpan w:val="2"/>
            <w:tcBorders>
              <w:top w:val="single" w:sz="4" w:space="0" w:color="auto"/>
              <w:left w:val="single" w:sz="4" w:space="0" w:color="auto"/>
              <w:right w:val="single" w:sz="4" w:space="0" w:color="auto"/>
            </w:tcBorders>
          </w:tcPr>
          <w:p w:rsidR="00CC2A20" w:rsidP="004B09DF" w14:paraId="489565BB" w14:textId="77777777">
            <w:pPr>
              <w:pStyle w:val="DisclaimerHeading"/>
              <w:spacing w:before="40" w:after="40" w:line="220" w:lineRule="exact"/>
              <w:jc w:val="center"/>
              <w:rPr>
                <w:b w:val="0"/>
                <w:color w:val="auto"/>
                <w:sz w:val="18"/>
                <w:szCs w:val="18"/>
              </w:rPr>
            </w:pPr>
            <w:r>
              <w:rPr>
                <w:b w:val="0"/>
                <w:color w:val="auto"/>
                <w:sz w:val="18"/>
                <w:szCs w:val="18"/>
              </w:rPr>
              <w:t>August 12, 2026</w:t>
            </w:r>
          </w:p>
        </w:tc>
      </w:tr>
      <w:tr w14:paraId="2F1EDA16" w14:textId="77777777" w:rsidTr="00CC2A20">
        <w:tblPrEx>
          <w:tblW w:w="9360" w:type="dxa"/>
          <w:tblInd w:w="612" w:type="dxa"/>
          <w:tblLook w:val="04A0"/>
        </w:tblPrEx>
        <w:trPr>
          <w:trHeight w:val="331"/>
        </w:trPr>
        <w:tc>
          <w:tcPr>
            <w:tcW w:w="1710" w:type="dxa"/>
            <w:tcBorders>
              <w:top w:val="single" w:sz="4" w:space="0" w:color="auto"/>
              <w:right w:val="single" w:sz="4" w:space="0" w:color="auto"/>
            </w:tcBorders>
            <w:shd w:val="clear" w:color="auto" w:fill="E1F6FF"/>
          </w:tcPr>
          <w:p w:rsidR="00CC2A20" w:rsidP="004B09DF" w14:paraId="2F4E1558" w14:textId="77777777">
            <w:pPr>
              <w:pStyle w:val="DisclaimerHeading"/>
              <w:spacing w:before="40" w:after="40" w:line="220" w:lineRule="exact"/>
              <w:rPr>
                <w:bCs/>
                <w:sz w:val="18"/>
                <w:szCs w:val="18"/>
              </w:rPr>
            </w:pPr>
            <w:r>
              <w:rPr>
                <w:bCs/>
                <w:sz w:val="18"/>
                <w:szCs w:val="18"/>
              </w:rPr>
              <w:t>August 24, 2026**</w:t>
            </w:r>
          </w:p>
        </w:tc>
        <w:tc>
          <w:tcPr>
            <w:tcW w:w="900" w:type="dxa"/>
            <w:tcBorders>
              <w:top w:val="single" w:sz="4" w:space="0" w:color="auto"/>
              <w:left w:val="single" w:sz="4" w:space="0" w:color="auto"/>
              <w:right w:val="single" w:sz="4" w:space="0" w:color="auto"/>
            </w:tcBorders>
          </w:tcPr>
          <w:p w:rsidR="00CC2A20" w:rsidP="004B09DF" w14:paraId="6195ADBA" w14:textId="5A1C0FC5">
            <w:pPr>
              <w:pStyle w:val="DisclaimerHeading"/>
              <w:spacing w:before="40" w:after="40" w:line="220" w:lineRule="exact"/>
              <w:rPr>
                <w:b w:val="0"/>
                <w:color w:val="auto"/>
                <w:sz w:val="18"/>
                <w:szCs w:val="18"/>
              </w:rPr>
            </w:pPr>
            <w:r>
              <w:rPr>
                <w:b w:val="0"/>
                <w:color w:val="auto"/>
                <w:sz w:val="18"/>
                <w:szCs w:val="18"/>
              </w:rPr>
              <w:t>1 p.m.</w:t>
            </w:r>
          </w:p>
        </w:tc>
        <w:tc>
          <w:tcPr>
            <w:tcW w:w="3361" w:type="dxa"/>
            <w:tcBorders>
              <w:top w:val="single" w:sz="4" w:space="0" w:color="auto"/>
              <w:left w:val="single" w:sz="4" w:space="0" w:color="auto"/>
              <w:right w:val="single" w:sz="4" w:space="0" w:color="auto"/>
            </w:tcBorders>
          </w:tcPr>
          <w:p w:rsidR="00CC2A20" w:rsidP="004B09DF" w14:paraId="4636B3D4" w14:textId="77777777">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CC2A20" w:rsidP="004B09DF" w14:paraId="3B9D9E23" w14:textId="77777777">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gridSpan w:val="2"/>
            <w:tcBorders>
              <w:top w:val="single" w:sz="4" w:space="0" w:color="auto"/>
              <w:left w:val="single" w:sz="4" w:space="0" w:color="auto"/>
              <w:right w:val="single" w:sz="4" w:space="0" w:color="auto"/>
            </w:tcBorders>
          </w:tcPr>
          <w:p w:rsidR="00CC2A20" w:rsidP="004B09DF" w14:paraId="28C8818E" w14:textId="77777777">
            <w:pPr>
              <w:pStyle w:val="DisclaimerHeading"/>
              <w:spacing w:before="40" w:after="40" w:line="220" w:lineRule="exact"/>
              <w:jc w:val="center"/>
              <w:rPr>
                <w:b w:val="0"/>
                <w:color w:val="auto"/>
                <w:sz w:val="18"/>
                <w:szCs w:val="18"/>
              </w:rPr>
            </w:pPr>
            <w:r>
              <w:rPr>
                <w:b w:val="0"/>
                <w:color w:val="auto"/>
                <w:sz w:val="18"/>
                <w:szCs w:val="18"/>
              </w:rPr>
              <w:t>August 12, 2026</w:t>
            </w:r>
          </w:p>
        </w:tc>
      </w:tr>
      <w:tr w14:paraId="50E365FA" w14:textId="77777777" w:rsidTr="00CC2A20">
        <w:tblPrEx>
          <w:tblW w:w="9360" w:type="dxa"/>
          <w:tblInd w:w="612" w:type="dxa"/>
          <w:tblLook w:val="04A0"/>
        </w:tblPrEx>
        <w:trPr>
          <w:trHeight w:val="331"/>
        </w:trPr>
        <w:tc>
          <w:tcPr>
            <w:tcW w:w="1710" w:type="dxa"/>
            <w:tcBorders>
              <w:top w:val="single" w:sz="4" w:space="0" w:color="auto"/>
              <w:right w:val="single" w:sz="4" w:space="0" w:color="auto"/>
            </w:tcBorders>
            <w:shd w:val="clear" w:color="auto" w:fill="E1F6FF"/>
          </w:tcPr>
          <w:p w:rsidR="00CC2A20" w:rsidP="004B09DF" w14:paraId="4DA14BFE" w14:textId="77777777">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right w:val="single" w:sz="4" w:space="0" w:color="auto"/>
            </w:tcBorders>
          </w:tcPr>
          <w:p w:rsidR="00CC2A20" w:rsidRPr="00FE2503" w:rsidP="004B09DF" w14:paraId="3FED2C7C"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CC2A20" w:rsidP="004B09DF" w14:paraId="08D06964" w14:textId="1043967D">
            <w:pPr>
              <w:pStyle w:val="DisclaimerHeading"/>
              <w:spacing w:before="40" w:after="40" w:line="220" w:lineRule="exact"/>
              <w:rPr>
                <w:b w:val="0"/>
                <w:color w:val="auto"/>
                <w:sz w:val="18"/>
                <w:szCs w:val="18"/>
              </w:rPr>
            </w:pPr>
            <w:r>
              <w:rPr>
                <w:b w:val="0"/>
                <w:color w:val="auto"/>
                <w:sz w:val="18"/>
                <w:szCs w:val="18"/>
              </w:rPr>
              <w:t>PJM Conference &amp; Training Center and Web</w:t>
            </w:r>
            <w:r w:rsidR="00346F83">
              <w:rPr>
                <w:b w:val="0"/>
                <w:color w:val="auto"/>
                <w:sz w:val="18"/>
                <w:szCs w:val="18"/>
              </w:rPr>
              <w:t>e</w:t>
            </w:r>
            <w:r>
              <w:rPr>
                <w:b w:val="0"/>
                <w:color w:val="auto"/>
                <w:sz w:val="18"/>
                <w:szCs w:val="18"/>
              </w:rPr>
              <w:t>x</w:t>
            </w:r>
          </w:p>
        </w:tc>
        <w:tc>
          <w:tcPr>
            <w:tcW w:w="1785" w:type="dxa"/>
            <w:tcBorders>
              <w:top w:val="single" w:sz="4" w:space="0" w:color="auto"/>
              <w:left w:val="single" w:sz="4" w:space="0" w:color="auto"/>
              <w:right w:val="single" w:sz="4" w:space="0" w:color="auto"/>
            </w:tcBorders>
          </w:tcPr>
          <w:p w:rsidR="00CC2A20" w:rsidP="004B09DF" w14:paraId="3E67DAB9" w14:textId="77777777">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gridSpan w:val="2"/>
            <w:tcBorders>
              <w:top w:val="single" w:sz="4" w:space="0" w:color="auto"/>
              <w:left w:val="single" w:sz="4" w:space="0" w:color="auto"/>
              <w:right w:val="single" w:sz="4" w:space="0" w:color="auto"/>
            </w:tcBorders>
          </w:tcPr>
          <w:p w:rsidR="00CC2A20" w:rsidP="004B09DF" w14:paraId="313ECA4B" w14:textId="77777777">
            <w:pPr>
              <w:pStyle w:val="DisclaimerHeading"/>
              <w:spacing w:before="40" w:after="40" w:line="220" w:lineRule="exact"/>
              <w:jc w:val="center"/>
              <w:rPr>
                <w:b w:val="0"/>
                <w:color w:val="auto"/>
                <w:sz w:val="18"/>
                <w:szCs w:val="18"/>
              </w:rPr>
            </w:pPr>
            <w:r>
              <w:rPr>
                <w:b w:val="0"/>
                <w:color w:val="auto"/>
                <w:sz w:val="18"/>
                <w:szCs w:val="18"/>
              </w:rPr>
              <w:t>September 17, 2026</w:t>
            </w:r>
          </w:p>
        </w:tc>
      </w:tr>
      <w:tr w14:paraId="3B2E5402" w14:textId="77777777" w:rsidTr="00CC2A20">
        <w:tblPrEx>
          <w:tblW w:w="9360" w:type="dxa"/>
          <w:tblInd w:w="612" w:type="dxa"/>
          <w:tblLook w:val="04A0"/>
        </w:tblPrEx>
        <w:trPr>
          <w:trHeight w:val="331"/>
        </w:trPr>
        <w:tc>
          <w:tcPr>
            <w:tcW w:w="1710" w:type="dxa"/>
            <w:tcBorders>
              <w:top w:val="single" w:sz="4" w:space="0" w:color="auto"/>
              <w:right w:val="single" w:sz="4" w:space="0" w:color="auto"/>
            </w:tcBorders>
            <w:shd w:val="clear" w:color="auto" w:fill="E1F6FF"/>
          </w:tcPr>
          <w:p w:rsidR="00CC2A20" w:rsidP="004B09DF" w14:paraId="3ECC13A4" w14:textId="77777777">
            <w:pPr>
              <w:pStyle w:val="DisclaimerHeading"/>
              <w:spacing w:before="40" w:after="40" w:line="220" w:lineRule="exact"/>
              <w:rPr>
                <w:bCs/>
                <w:sz w:val="18"/>
                <w:szCs w:val="18"/>
              </w:rPr>
            </w:pPr>
            <w:r>
              <w:rPr>
                <w:bCs/>
                <w:sz w:val="18"/>
                <w:szCs w:val="18"/>
              </w:rPr>
              <w:t>September 28, 2026**</w:t>
            </w:r>
          </w:p>
        </w:tc>
        <w:tc>
          <w:tcPr>
            <w:tcW w:w="900" w:type="dxa"/>
            <w:tcBorders>
              <w:top w:val="single" w:sz="4" w:space="0" w:color="auto"/>
              <w:left w:val="single" w:sz="4" w:space="0" w:color="auto"/>
              <w:right w:val="single" w:sz="4" w:space="0" w:color="auto"/>
            </w:tcBorders>
          </w:tcPr>
          <w:p w:rsidR="00CC2A20" w:rsidP="004B09DF" w14:paraId="361A6307" w14:textId="3219564D">
            <w:pPr>
              <w:pStyle w:val="DisclaimerHeading"/>
              <w:spacing w:before="40" w:after="40" w:line="220" w:lineRule="exact"/>
              <w:rPr>
                <w:b w:val="0"/>
                <w:color w:val="auto"/>
                <w:sz w:val="18"/>
                <w:szCs w:val="18"/>
              </w:rPr>
            </w:pPr>
            <w:r>
              <w:rPr>
                <w:b w:val="0"/>
                <w:color w:val="auto"/>
                <w:sz w:val="18"/>
                <w:szCs w:val="18"/>
              </w:rPr>
              <w:t>1 p.m.</w:t>
            </w:r>
          </w:p>
        </w:tc>
        <w:tc>
          <w:tcPr>
            <w:tcW w:w="3361" w:type="dxa"/>
            <w:tcBorders>
              <w:top w:val="single" w:sz="4" w:space="0" w:color="auto"/>
              <w:left w:val="single" w:sz="4" w:space="0" w:color="auto"/>
              <w:right w:val="single" w:sz="4" w:space="0" w:color="auto"/>
            </w:tcBorders>
          </w:tcPr>
          <w:p w:rsidR="00CC2A20" w:rsidP="004B09DF" w14:paraId="2D55E553" w14:textId="77777777">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CC2A20" w:rsidP="004B09DF" w14:paraId="534B7C90" w14:textId="77777777">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gridSpan w:val="2"/>
            <w:tcBorders>
              <w:top w:val="single" w:sz="4" w:space="0" w:color="auto"/>
              <w:left w:val="single" w:sz="4" w:space="0" w:color="auto"/>
              <w:right w:val="single" w:sz="4" w:space="0" w:color="auto"/>
            </w:tcBorders>
          </w:tcPr>
          <w:p w:rsidR="00CC2A20" w:rsidP="004B09DF" w14:paraId="11F6913C" w14:textId="77777777">
            <w:pPr>
              <w:pStyle w:val="DisclaimerHeading"/>
              <w:spacing w:before="40" w:after="40" w:line="220" w:lineRule="exact"/>
              <w:jc w:val="center"/>
              <w:rPr>
                <w:b w:val="0"/>
                <w:color w:val="auto"/>
                <w:sz w:val="18"/>
                <w:szCs w:val="18"/>
              </w:rPr>
            </w:pPr>
            <w:r>
              <w:rPr>
                <w:b w:val="0"/>
                <w:color w:val="auto"/>
                <w:sz w:val="18"/>
                <w:szCs w:val="18"/>
              </w:rPr>
              <w:t>September 17, 2026</w:t>
            </w:r>
          </w:p>
        </w:tc>
      </w:tr>
      <w:tr w14:paraId="043C07AB" w14:textId="77777777" w:rsidTr="00CC2A20">
        <w:tblPrEx>
          <w:tblW w:w="9360" w:type="dxa"/>
          <w:tblInd w:w="612" w:type="dxa"/>
          <w:tblLook w:val="04A0"/>
        </w:tblPrEx>
        <w:trPr>
          <w:trHeight w:val="331"/>
        </w:trPr>
        <w:tc>
          <w:tcPr>
            <w:tcW w:w="1710" w:type="dxa"/>
            <w:tcBorders>
              <w:top w:val="single" w:sz="4" w:space="0" w:color="auto"/>
              <w:right w:val="single" w:sz="4" w:space="0" w:color="auto"/>
            </w:tcBorders>
            <w:shd w:val="clear" w:color="auto" w:fill="E1F6FF"/>
          </w:tcPr>
          <w:p w:rsidR="00CC2A20" w:rsidP="004B09DF" w14:paraId="7B59A6D1" w14:textId="77777777">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right w:val="single" w:sz="4" w:space="0" w:color="auto"/>
            </w:tcBorders>
          </w:tcPr>
          <w:p w:rsidR="00CC2A20" w:rsidP="004B09DF" w14:paraId="396194D1"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CC2A20" w:rsidP="004B09DF" w14:paraId="6F96D730" w14:textId="6B137CA5">
            <w:pPr>
              <w:pStyle w:val="DisclaimerHeading"/>
              <w:spacing w:before="40" w:after="40" w:line="220" w:lineRule="exact"/>
              <w:rPr>
                <w:b w:val="0"/>
                <w:color w:val="auto"/>
                <w:sz w:val="18"/>
                <w:szCs w:val="18"/>
              </w:rPr>
            </w:pPr>
            <w:r>
              <w:rPr>
                <w:b w:val="0"/>
                <w:color w:val="auto"/>
                <w:sz w:val="18"/>
                <w:szCs w:val="18"/>
              </w:rPr>
              <w:t>PJM Conference &amp; Training Center and Web</w:t>
            </w:r>
            <w:r w:rsidR="00346F83">
              <w:rPr>
                <w:b w:val="0"/>
                <w:color w:val="auto"/>
                <w:sz w:val="18"/>
                <w:szCs w:val="18"/>
              </w:rPr>
              <w:t>e</w:t>
            </w:r>
            <w:r>
              <w:rPr>
                <w:b w:val="0"/>
                <w:color w:val="auto"/>
                <w:sz w:val="18"/>
                <w:szCs w:val="18"/>
              </w:rPr>
              <w:t>x</w:t>
            </w:r>
          </w:p>
        </w:tc>
        <w:tc>
          <w:tcPr>
            <w:tcW w:w="1785" w:type="dxa"/>
            <w:tcBorders>
              <w:top w:val="single" w:sz="4" w:space="0" w:color="auto"/>
              <w:left w:val="single" w:sz="4" w:space="0" w:color="auto"/>
              <w:right w:val="single" w:sz="4" w:space="0" w:color="auto"/>
            </w:tcBorders>
          </w:tcPr>
          <w:p w:rsidR="00CC2A20" w:rsidP="004B09DF" w14:paraId="08CA2E4C" w14:textId="77777777">
            <w:pPr>
              <w:pStyle w:val="DisclaimerHeading"/>
              <w:spacing w:before="40" w:after="40" w:line="220" w:lineRule="exact"/>
              <w:jc w:val="center"/>
              <w:rPr>
                <w:b w:val="0"/>
                <w:color w:val="auto"/>
                <w:sz w:val="18"/>
                <w:szCs w:val="18"/>
              </w:rPr>
            </w:pPr>
            <w:r>
              <w:rPr>
                <w:b w:val="0"/>
                <w:color w:val="auto"/>
                <w:sz w:val="18"/>
                <w:szCs w:val="18"/>
              </w:rPr>
              <w:t>October 16, 2026</w:t>
            </w:r>
          </w:p>
        </w:tc>
        <w:tc>
          <w:tcPr>
            <w:tcW w:w="1604" w:type="dxa"/>
            <w:gridSpan w:val="2"/>
            <w:tcBorders>
              <w:top w:val="single" w:sz="4" w:space="0" w:color="auto"/>
              <w:left w:val="single" w:sz="4" w:space="0" w:color="auto"/>
              <w:right w:val="single" w:sz="4" w:space="0" w:color="auto"/>
            </w:tcBorders>
          </w:tcPr>
          <w:p w:rsidR="00CC2A20" w:rsidP="004B09DF" w14:paraId="4F5ED5C7" w14:textId="77777777">
            <w:pPr>
              <w:pStyle w:val="DisclaimerHeading"/>
              <w:spacing w:before="40" w:after="40" w:line="220" w:lineRule="exact"/>
              <w:jc w:val="center"/>
              <w:rPr>
                <w:b w:val="0"/>
                <w:color w:val="auto"/>
                <w:sz w:val="18"/>
                <w:szCs w:val="18"/>
              </w:rPr>
            </w:pPr>
            <w:r>
              <w:rPr>
                <w:b w:val="0"/>
                <w:color w:val="auto"/>
                <w:sz w:val="18"/>
                <w:szCs w:val="18"/>
              </w:rPr>
              <w:t>October 21, 2026</w:t>
            </w:r>
          </w:p>
        </w:tc>
      </w:tr>
      <w:tr w14:paraId="358D9D97" w14:textId="77777777" w:rsidTr="00CC2A20">
        <w:tblPrEx>
          <w:tblW w:w="9360" w:type="dxa"/>
          <w:tblInd w:w="612" w:type="dxa"/>
          <w:tblLook w:val="04A0"/>
        </w:tblPrEx>
        <w:trPr>
          <w:trHeight w:val="331"/>
        </w:trPr>
        <w:tc>
          <w:tcPr>
            <w:tcW w:w="1710" w:type="dxa"/>
            <w:tcBorders>
              <w:top w:val="single" w:sz="4" w:space="0" w:color="auto"/>
              <w:right w:val="single" w:sz="4" w:space="0" w:color="auto"/>
            </w:tcBorders>
            <w:shd w:val="clear" w:color="auto" w:fill="E1F6FF"/>
          </w:tcPr>
          <w:p w:rsidR="00CC2A20" w:rsidP="004B09DF" w14:paraId="0DFECC78" w14:textId="77777777">
            <w:pPr>
              <w:pStyle w:val="DisclaimerHeading"/>
              <w:spacing w:before="40" w:after="40" w:line="220" w:lineRule="exact"/>
              <w:rPr>
                <w:bCs/>
                <w:sz w:val="18"/>
                <w:szCs w:val="18"/>
              </w:rPr>
            </w:pPr>
            <w:r>
              <w:rPr>
                <w:bCs/>
                <w:sz w:val="18"/>
                <w:szCs w:val="18"/>
              </w:rPr>
              <w:t>October 29, 2026**</w:t>
            </w:r>
          </w:p>
        </w:tc>
        <w:tc>
          <w:tcPr>
            <w:tcW w:w="900" w:type="dxa"/>
            <w:tcBorders>
              <w:top w:val="single" w:sz="4" w:space="0" w:color="auto"/>
              <w:left w:val="single" w:sz="4" w:space="0" w:color="auto"/>
              <w:right w:val="single" w:sz="4" w:space="0" w:color="auto"/>
            </w:tcBorders>
          </w:tcPr>
          <w:p w:rsidR="00CC2A20" w:rsidP="004B09DF" w14:paraId="02F6C48E" w14:textId="44F55916">
            <w:pPr>
              <w:pStyle w:val="DisclaimerHeading"/>
              <w:spacing w:before="40" w:after="40" w:line="220" w:lineRule="exact"/>
              <w:rPr>
                <w:b w:val="0"/>
                <w:color w:val="auto"/>
                <w:sz w:val="18"/>
                <w:szCs w:val="18"/>
              </w:rPr>
            </w:pPr>
            <w:r>
              <w:rPr>
                <w:b w:val="0"/>
                <w:color w:val="auto"/>
                <w:sz w:val="18"/>
                <w:szCs w:val="18"/>
              </w:rPr>
              <w:t>1 p.m.</w:t>
            </w:r>
          </w:p>
        </w:tc>
        <w:tc>
          <w:tcPr>
            <w:tcW w:w="3361" w:type="dxa"/>
            <w:tcBorders>
              <w:top w:val="single" w:sz="4" w:space="0" w:color="auto"/>
              <w:left w:val="single" w:sz="4" w:space="0" w:color="auto"/>
              <w:right w:val="single" w:sz="4" w:space="0" w:color="auto"/>
            </w:tcBorders>
          </w:tcPr>
          <w:p w:rsidR="00CC2A20" w:rsidP="004B09DF" w14:paraId="4FDF2E76" w14:textId="77777777">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CC2A20" w:rsidP="004B09DF" w14:paraId="40064B86" w14:textId="77777777">
            <w:pPr>
              <w:pStyle w:val="DisclaimerHeading"/>
              <w:spacing w:before="40" w:after="40" w:line="220" w:lineRule="exact"/>
              <w:jc w:val="center"/>
              <w:rPr>
                <w:b w:val="0"/>
                <w:color w:val="auto"/>
                <w:sz w:val="18"/>
                <w:szCs w:val="18"/>
              </w:rPr>
            </w:pPr>
            <w:r>
              <w:rPr>
                <w:b w:val="0"/>
                <w:color w:val="auto"/>
                <w:sz w:val="18"/>
                <w:szCs w:val="18"/>
              </w:rPr>
              <w:t>October 16, 2026</w:t>
            </w:r>
          </w:p>
        </w:tc>
        <w:tc>
          <w:tcPr>
            <w:tcW w:w="1604" w:type="dxa"/>
            <w:gridSpan w:val="2"/>
            <w:tcBorders>
              <w:top w:val="single" w:sz="4" w:space="0" w:color="auto"/>
              <w:left w:val="single" w:sz="4" w:space="0" w:color="auto"/>
              <w:right w:val="single" w:sz="4" w:space="0" w:color="auto"/>
            </w:tcBorders>
          </w:tcPr>
          <w:p w:rsidR="00CC2A20" w:rsidP="004B09DF" w14:paraId="4C8C1850" w14:textId="77777777">
            <w:pPr>
              <w:pStyle w:val="DisclaimerHeading"/>
              <w:spacing w:before="40" w:after="40" w:line="220" w:lineRule="exact"/>
              <w:jc w:val="center"/>
              <w:rPr>
                <w:b w:val="0"/>
                <w:color w:val="auto"/>
                <w:sz w:val="18"/>
                <w:szCs w:val="18"/>
              </w:rPr>
            </w:pPr>
            <w:r>
              <w:rPr>
                <w:b w:val="0"/>
                <w:color w:val="auto"/>
                <w:sz w:val="18"/>
                <w:szCs w:val="18"/>
              </w:rPr>
              <w:t>October 21, 2026</w:t>
            </w:r>
          </w:p>
        </w:tc>
      </w:tr>
      <w:tr w14:paraId="78A7CB13" w14:textId="77777777" w:rsidTr="00CC2A20">
        <w:tblPrEx>
          <w:tblW w:w="9360" w:type="dxa"/>
          <w:tblInd w:w="612" w:type="dxa"/>
          <w:tblLook w:val="04A0"/>
        </w:tblPrEx>
        <w:trPr>
          <w:trHeight w:val="331"/>
        </w:trPr>
        <w:tc>
          <w:tcPr>
            <w:tcW w:w="1710" w:type="dxa"/>
            <w:tcBorders>
              <w:top w:val="single" w:sz="4" w:space="0" w:color="auto"/>
              <w:right w:val="single" w:sz="4" w:space="0" w:color="auto"/>
            </w:tcBorders>
            <w:shd w:val="clear" w:color="auto" w:fill="E1F6FF"/>
          </w:tcPr>
          <w:p w:rsidR="00CC2A20" w:rsidP="004B09DF" w14:paraId="14E36C3F" w14:textId="77777777">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right w:val="single" w:sz="4" w:space="0" w:color="auto"/>
            </w:tcBorders>
          </w:tcPr>
          <w:p w:rsidR="00CC2A20" w:rsidP="004B09DF" w14:paraId="73BC5DD0"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CC2A20" w:rsidP="004B09DF" w14:paraId="1C67E5DB" w14:textId="6BF8891E">
            <w:pPr>
              <w:pStyle w:val="DisclaimerHeading"/>
              <w:spacing w:before="40" w:after="40" w:line="220" w:lineRule="exact"/>
              <w:rPr>
                <w:b w:val="0"/>
                <w:color w:val="auto"/>
                <w:sz w:val="18"/>
                <w:szCs w:val="18"/>
              </w:rPr>
            </w:pPr>
            <w:r>
              <w:rPr>
                <w:b w:val="0"/>
                <w:color w:val="auto"/>
                <w:sz w:val="18"/>
                <w:szCs w:val="18"/>
              </w:rPr>
              <w:t>PJM Conference &amp; Training Center and Web</w:t>
            </w:r>
            <w:r w:rsidR="00346F83">
              <w:rPr>
                <w:b w:val="0"/>
                <w:color w:val="auto"/>
                <w:sz w:val="18"/>
                <w:szCs w:val="18"/>
              </w:rPr>
              <w:t>e</w:t>
            </w:r>
            <w:r>
              <w:rPr>
                <w:b w:val="0"/>
                <w:color w:val="auto"/>
                <w:sz w:val="18"/>
                <w:szCs w:val="18"/>
              </w:rPr>
              <w:t>x</w:t>
            </w:r>
          </w:p>
        </w:tc>
        <w:tc>
          <w:tcPr>
            <w:tcW w:w="1785" w:type="dxa"/>
            <w:tcBorders>
              <w:top w:val="single" w:sz="4" w:space="0" w:color="auto"/>
              <w:left w:val="single" w:sz="4" w:space="0" w:color="auto"/>
              <w:right w:val="single" w:sz="4" w:space="0" w:color="auto"/>
            </w:tcBorders>
          </w:tcPr>
          <w:p w:rsidR="00CC2A20" w:rsidP="004B09DF" w14:paraId="58E9CE9C" w14:textId="77777777">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gridSpan w:val="2"/>
            <w:tcBorders>
              <w:top w:val="single" w:sz="4" w:space="0" w:color="auto"/>
              <w:left w:val="single" w:sz="4" w:space="0" w:color="auto"/>
              <w:right w:val="single" w:sz="4" w:space="0" w:color="auto"/>
            </w:tcBorders>
          </w:tcPr>
          <w:p w:rsidR="00CC2A20" w:rsidP="004B09DF" w14:paraId="1CA81E86" w14:textId="77777777">
            <w:pPr>
              <w:pStyle w:val="DisclaimerHeading"/>
              <w:spacing w:before="40" w:after="40" w:line="220" w:lineRule="exact"/>
              <w:jc w:val="center"/>
              <w:rPr>
                <w:b w:val="0"/>
                <w:color w:val="auto"/>
                <w:sz w:val="18"/>
                <w:szCs w:val="18"/>
              </w:rPr>
            </w:pPr>
            <w:r>
              <w:rPr>
                <w:b w:val="0"/>
                <w:color w:val="auto"/>
                <w:sz w:val="18"/>
                <w:szCs w:val="18"/>
              </w:rPr>
              <w:t>November 11, 2026</w:t>
            </w:r>
          </w:p>
        </w:tc>
      </w:tr>
      <w:tr w14:paraId="21C545C6" w14:textId="77777777" w:rsidTr="00CC2A20">
        <w:tblPrEx>
          <w:tblW w:w="9360" w:type="dxa"/>
          <w:tblInd w:w="612" w:type="dxa"/>
          <w:tblLook w:val="04A0"/>
        </w:tblPrEx>
        <w:trPr>
          <w:trHeight w:val="331"/>
        </w:trPr>
        <w:tc>
          <w:tcPr>
            <w:tcW w:w="1710" w:type="dxa"/>
            <w:tcBorders>
              <w:top w:val="single" w:sz="4" w:space="0" w:color="auto"/>
              <w:right w:val="single" w:sz="4" w:space="0" w:color="auto"/>
            </w:tcBorders>
            <w:shd w:val="clear" w:color="auto" w:fill="E1F6FF"/>
          </w:tcPr>
          <w:p w:rsidR="00CC2A20" w:rsidP="004B09DF" w14:paraId="58269448" w14:textId="77777777">
            <w:pPr>
              <w:pStyle w:val="DisclaimerHeading"/>
              <w:spacing w:before="40" w:after="40" w:line="220" w:lineRule="exact"/>
              <w:rPr>
                <w:bCs/>
                <w:sz w:val="18"/>
                <w:szCs w:val="18"/>
              </w:rPr>
            </w:pPr>
            <w:r>
              <w:rPr>
                <w:bCs/>
                <w:sz w:val="18"/>
                <w:szCs w:val="18"/>
              </w:rPr>
              <w:t>November 23, 2026**</w:t>
            </w:r>
          </w:p>
        </w:tc>
        <w:tc>
          <w:tcPr>
            <w:tcW w:w="900" w:type="dxa"/>
            <w:tcBorders>
              <w:top w:val="single" w:sz="4" w:space="0" w:color="auto"/>
              <w:left w:val="single" w:sz="4" w:space="0" w:color="auto"/>
              <w:right w:val="single" w:sz="4" w:space="0" w:color="auto"/>
            </w:tcBorders>
          </w:tcPr>
          <w:p w:rsidR="00CC2A20" w:rsidP="004B09DF" w14:paraId="5B137C13" w14:textId="7F5E93D2">
            <w:pPr>
              <w:pStyle w:val="DisclaimerHeading"/>
              <w:spacing w:before="40" w:after="40" w:line="220" w:lineRule="exact"/>
              <w:rPr>
                <w:b w:val="0"/>
                <w:color w:val="auto"/>
                <w:sz w:val="18"/>
                <w:szCs w:val="18"/>
              </w:rPr>
            </w:pPr>
            <w:r>
              <w:rPr>
                <w:b w:val="0"/>
                <w:color w:val="auto"/>
                <w:sz w:val="18"/>
                <w:szCs w:val="18"/>
              </w:rPr>
              <w:t xml:space="preserve">1 p.m. </w:t>
            </w:r>
          </w:p>
        </w:tc>
        <w:tc>
          <w:tcPr>
            <w:tcW w:w="3361" w:type="dxa"/>
            <w:tcBorders>
              <w:top w:val="single" w:sz="4" w:space="0" w:color="auto"/>
              <w:left w:val="single" w:sz="4" w:space="0" w:color="auto"/>
              <w:right w:val="single" w:sz="4" w:space="0" w:color="auto"/>
            </w:tcBorders>
          </w:tcPr>
          <w:p w:rsidR="00CC2A20" w:rsidP="004B09DF" w14:paraId="158BD0A7" w14:textId="77777777">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CC2A20" w:rsidP="004B09DF" w14:paraId="2FD051CA" w14:textId="77777777">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gridSpan w:val="2"/>
            <w:tcBorders>
              <w:top w:val="single" w:sz="4" w:space="0" w:color="auto"/>
              <w:left w:val="single" w:sz="4" w:space="0" w:color="auto"/>
              <w:right w:val="single" w:sz="4" w:space="0" w:color="auto"/>
            </w:tcBorders>
          </w:tcPr>
          <w:p w:rsidR="00CC2A20" w:rsidP="004B09DF" w14:paraId="65DE71EC" w14:textId="77777777">
            <w:pPr>
              <w:pStyle w:val="DisclaimerHeading"/>
              <w:spacing w:before="40" w:after="40" w:line="220" w:lineRule="exact"/>
              <w:jc w:val="center"/>
              <w:rPr>
                <w:b w:val="0"/>
                <w:color w:val="auto"/>
                <w:sz w:val="18"/>
                <w:szCs w:val="18"/>
              </w:rPr>
            </w:pPr>
            <w:r>
              <w:rPr>
                <w:b w:val="0"/>
                <w:color w:val="auto"/>
                <w:sz w:val="18"/>
                <w:szCs w:val="18"/>
              </w:rPr>
              <w:t>November 11, 2026</w:t>
            </w:r>
          </w:p>
        </w:tc>
      </w:tr>
      <w:tr w14:paraId="35792D13" w14:textId="77777777" w:rsidTr="00CC2A20">
        <w:tblPrEx>
          <w:tblW w:w="9360" w:type="dxa"/>
          <w:tblInd w:w="612"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CC2A20" w:rsidP="004B09DF" w14:paraId="28128B02" w14:textId="77777777">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bottom w:val="single" w:sz="4" w:space="0" w:color="auto"/>
              <w:right w:val="single" w:sz="4" w:space="0" w:color="auto"/>
            </w:tcBorders>
          </w:tcPr>
          <w:p w:rsidR="00CC2A20" w:rsidP="004B09DF" w14:paraId="6A6B898A"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CC2A20" w:rsidP="004B09DF" w14:paraId="3A886DB7" w14:textId="42C11343">
            <w:pPr>
              <w:pStyle w:val="DisclaimerHeading"/>
              <w:spacing w:before="40" w:after="40" w:line="220" w:lineRule="exact"/>
              <w:rPr>
                <w:b w:val="0"/>
                <w:color w:val="auto"/>
                <w:sz w:val="18"/>
                <w:szCs w:val="18"/>
              </w:rPr>
            </w:pPr>
            <w:r>
              <w:rPr>
                <w:b w:val="0"/>
                <w:color w:val="auto"/>
                <w:sz w:val="18"/>
                <w:szCs w:val="18"/>
              </w:rPr>
              <w:t>PJM Conference &amp; Training Center and Web</w:t>
            </w:r>
            <w:r w:rsidR="00346F83">
              <w:rPr>
                <w:b w:val="0"/>
                <w:color w:val="auto"/>
                <w:sz w:val="18"/>
                <w:szCs w:val="18"/>
              </w:rPr>
              <w:t>e</w:t>
            </w:r>
            <w:r>
              <w:rPr>
                <w:b w:val="0"/>
                <w:color w:val="auto"/>
                <w:sz w:val="18"/>
                <w:szCs w:val="18"/>
              </w:rPr>
              <w:t>x</w:t>
            </w:r>
          </w:p>
        </w:tc>
        <w:tc>
          <w:tcPr>
            <w:tcW w:w="1785" w:type="dxa"/>
            <w:tcBorders>
              <w:top w:val="single" w:sz="4" w:space="0" w:color="auto"/>
              <w:left w:val="single" w:sz="4" w:space="0" w:color="auto"/>
              <w:bottom w:val="single" w:sz="4" w:space="0" w:color="auto"/>
              <w:right w:val="single" w:sz="4" w:space="0" w:color="auto"/>
            </w:tcBorders>
          </w:tcPr>
          <w:p w:rsidR="00CC2A20" w:rsidP="004B09DF" w14:paraId="1EE5E59E" w14:textId="77777777">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gridSpan w:val="2"/>
            <w:tcBorders>
              <w:top w:val="single" w:sz="4" w:space="0" w:color="auto"/>
              <w:left w:val="single" w:sz="4" w:space="0" w:color="auto"/>
              <w:bottom w:val="single" w:sz="4" w:space="0" w:color="auto"/>
              <w:right w:val="single" w:sz="4" w:space="0" w:color="auto"/>
            </w:tcBorders>
          </w:tcPr>
          <w:p w:rsidR="00CC2A20" w:rsidP="004B09DF" w14:paraId="74A69398" w14:textId="77777777">
            <w:pPr>
              <w:pStyle w:val="DisclaimerHeading"/>
              <w:spacing w:before="40" w:after="40" w:line="220" w:lineRule="exact"/>
              <w:jc w:val="center"/>
              <w:rPr>
                <w:b w:val="0"/>
                <w:color w:val="auto"/>
                <w:sz w:val="18"/>
                <w:szCs w:val="18"/>
              </w:rPr>
            </w:pPr>
            <w:r>
              <w:rPr>
                <w:b w:val="0"/>
                <w:color w:val="auto"/>
                <w:sz w:val="18"/>
                <w:szCs w:val="18"/>
              </w:rPr>
              <w:t>December 9, 2026</w:t>
            </w:r>
          </w:p>
        </w:tc>
      </w:tr>
      <w:tr w14:paraId="296D10EC" w14:textId="77777777" w:rsidTr="00CC2A20">
        <w:tblPrEx>
          <w:tblW w:w="9360" w:type="dxa"/>
          <w:tblInd w:w="612" w:type="dxa"/>
          <w:tblLook w:val="04A0"/>
        </w:tblPrEx>
        <w:trPr>
          <w:trHeight w:val="331"/>
        </w:trPr>
        <w:tc>
          <w:tcPr>
            <w:tcW w:w="1710" w:type="dxa"/>
            <w:tcBorders>
              <w:top w:val="single" w:sz="4" w:space="0" w:color="auto"/>
              <w:right w:val="single" w:sz="4" w:space="0" w:color="auto"/>
            </w:tcBorders>
            <w:shd w:val="clear" w:color="auto" w:fill="E1F6FF"/>
          </w:tcPr>
          <w:p w:rsidR="00CC2A20" w:rsidP="004B09DF" w14:paraId="04C2F950" w14:textId="77777777">
            <w:pPr>
              <w:pStyle w:val="DisclaimerHeading"/>
              <w:spacing w:before="40" w:after="40" w:line="220" w:lineRule="exact"/>
              <w:rPr>
                <w:bCs/>
                <w:sz w:val="18"/>
                <w:szCs w:val="18"/>
              </w:rPr>
            </w:pPr>
            <w:r>
              <w:rPr>
                <w:bCs/>
                <w:sz w:val="18"/>
                <w:szCs w:val="18"/>
              </w:rPr>
              <w:t>December 21, 2026**</w:t>
            </w:r>
          </w:p>
        </w:tc>
        <w:tc>
          <w:tcPr>
            <w:tcW w:w="900" w:type="dxa"/>
            <w:tcBorders>
              <w:top w:val="single" w:sz="4" w:space="0" w:color="auto"/>
              <w:left w:val="single" w:sz="4" w:space="0" w:color="auto"/>
              <w:right w:val="single" w:sz="4" w:space="0" w:color="auto"/>
            </w:tcBorders>
          </w:tcPr>
          <w:p w:rsidR="00CC2A20" w:rsidP="004B09DF" w14:paraId="46E32982" w14:textId="17014EA6">
            <w:pPr>
              <w:pStyle w:val="DisclaimerHeading"/>
              <w:spacing w:before="40" w:after="40" w:line="220" w:lineRule="exact"/>
              <w:rPr>
                <w:b w:val="0"/>
                <w:color w:val="auto"/>
                <w:sz w:val="18"/>
                <w:szCs w:val="18"/>
              </w:rPr>
            </w:pPr>
            <w:r>
              <w:rPr>
                <w:b w:val="0"/>
                <w:color w:val="auto"/>
                <w:sz w:val="18"/>
                <w:szCs w:val="18"/>
              </w:rPr>
              <w:t>1 p.m.</w:t>
            </w:r>
          </w:p>
        </w:tc>
        <w:tc>
          <w:tcPr>
            <w:tcW w:w="3361" w:type="dxa"/>
            <w:tcBorders>
              <w:top w:val="single" w:sz="4" w:space="0" w:color="auto"/>
              <w:left w:val="single" w:sz="4" w:space="0" w:color="auto"/>
              <w:right w:val="single" w:sz="4" w:space="0" w:color="auto"/>
            </w:tcBorders>
          </w:tcPr>
          <w:p w:rsidR="00CC2A20" w:rsidP="004B09DF" w14:paraId="13BC49F4" w14:textId="77777777">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CC2A20" w:rsidP="004B09DF" w14:paraId="396DD46E" w14:textId="77777777">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gridSpan w:val="2"/>
            <w:tcBorders>
              <w:top w:val="single" w:sz="4" w:space="0" w:color="auto"/>
              <w:left w:val="single" w:sz="4" w:space="0" w:color="auto"/>
              <w:right w:val="single" w:sz="4" w:space="0" w:color="auto"/>
            </w:tcBorders>
          </w:tcPr>
          <w:p w:rsidR="00CC2A20" w:rsidP="004B09DF" w14:paraId="457B620B" w14:textId="77777777">
            <w:pPr>
              <w:pStyle w:val="DisclaimerHeading"/>
              <w:spacing w:before="40" w:after="40" w:line="220" w:lineRule="exact"/>
              <w:jc w:val="center"/>
              <w:rPr>
                <w:b w:val="0"/>
                <w:color w:val="auto"/>
                <w:sz w:val="18"/>
                <w:szCs w:val="18"/>
              </w:rPr>
            </w:pPr>
            <w:r>
              <w:rPr>
                <w:b w:val="0"/>
                <w:color w:val="auto"/>
                <w:sz w:val="18"/>
                <w:szCs w:val="18"/>
              </w:rPr>
              <w:t>December 9, 2026</w:t>
            </w:r>
          </w:p>
        </w:tc>
      </w:tr>
    </w:tbl>
    <w:p w:rsidR="004E21AA" w:rsidP="004E21AA" w14:paraId="31BABEEE"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4E21AA" w:rsidP="004E21AA" w14:paraId="643B6E5A" w14:textId="77777777">
      <w:pPr>
        <w:pStyle w:val="DisclaimerBodyCopy"/>
        <w:keepLines/>
        <w:spacing w:before="60"/>
        <w:jc w:val="right"/>
      </w:pPr>
      <w:r>
        <w:rPr>
          <w:color w:val="1F497D"/>
        </w:rPr>
        <w:t>**Members Committee Informational Webinar held as needed only and will be cancelled if material is covered at standing MC meeting.</w:t>
      </w:r>
    </w:p>
    <w:p w:rsidR="00733935" w:rsidRPr="00D311B2" w:rsidP="00733935" w14:paraId="67008B8D" w14:textId="589819EE">
      <w:pPr>
        <w:spacing w:after="120"/>
        <w:rPr>
          <w:sz w:val="16"/>
        </w:rPr>
      </w:pPr>
      <w:r w:rsidRPr="00D311B2">
        <w:rPr>
          <w:sz w:val="16"/>
        </w:rPr>
        <w:t>Author: D. Anders</w:t>
      </w:r>
    </w:p>
    <w:p w:rsidR="00D311B2" w:rsidRPr="00B62597" w:rsidP="00D311B2" w14:paraId="1AF693FD" w14:textId="77777777">
      <w:pPr>
        <w:pStyle w:val="DisclaimerHeading"/>
      </w:pPr>
      <w:r>
        <w:t>Anti</w:t>
      </w:r>
      <w:r w:rsidRPr="00B62597">
        <w:t>trust:</w:t>
      </w:r>
    </w:p>
    <w:p w:rsidR="00D311B2" w:rsidP="00D311B2" w14:paraId="00981CBE" w14:textId="4DC7E278">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t xml:space="preserve"> </w:t>
      </w:r>
      <w:r w:rsidRPr="00B62597">
        <w:t>If any of these items are discussed the chair will re-direct the conversation.</w:t>
      </w:r>
      <w:r>
        <w:t xml:space="preserve"> </w:t>
      </w:r>
      <w:r w:rsidRPr="00B62597">
        <w:t>If the conversation still persists, parties will be asked to leave the meeting or the meeting will be adjourned.</w:t>
      </w:r>
    </w:p>
    <w:p w:rsidR="005528A0" w:rsidP="00D311B2" w14:paraId="51BED4EF" w14:textId="20FBB748">
      <w:pPr>
        <w:pStyle w:val="DisclaimerBodyCopy"/>
      </w:pPr>
    </w:p>
    <w:p w:rsidR="00D311B2" w:rsidRPr="00B62597" w:rsidP="00D311B2" w14:paraId="3CAE8412" w14:textId="77777777">
      <w:pPr>
        <w:pStyle w:val="DisclosureTitle"/>
      </w:pPr>
      <w:r w:rsidRPr="00B62597">
        <w:t>Code of Conduct:</w:t>
      </w:r>
    </w:p>
    <w:p w:rsidR="00D311B2" w:rsidP="00D311B2" w14:paraId="0E0D86E6"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2F3538" w:rsidP="00D311B2" w14:paraId="37FCEFA9" w14:textId="77777777">
      <w:pPr>
        <w:pStyle w:val="DisclosureBody"/>
      </w:pPr>
    </w:p>
    <w:p w:rsidR="00D311B2" w:rsidRPr="00B62597" w:rsidP="00D311B2" w14:paraId="442C190C" w14:textId="77777777">
      <w:pPr>
        <w:pStyle w:val="DisclosureTitle"/>
      </w:pPr>
      <w:r w:rsidRPr="00B62597">
        <w:t xml:space="preserve">Public Meetings/Media Participation: </w:t>
      </w:r>
    </w:p>
    <w:p w:rsidR="00D311B2" w:rsidP="00D311B2" w14:paraId="6AC9B8E0" w14:textId="32E7A47D">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D311B2" w:rsidP="00D311B2" w14:paraId="57C64935" w14:textId="77777777">
      <w:pPr>
        <w:pStyle w:val="DisclaimerHeading"/>
        <w:spacing w:before="240"/>
      </w:pPr>
      <w:r>
        <w:t>Participant Identification in Webex:</w:t>
      </w:r>
    </w:p>
    <w:p w:rsidR="00D311B2" w:rsidP="00D311B2" w14:paraId="6CF35C61" w14:textId="77777777">
      <w:pPr>
        <w:pStyle w:val="DisclaimerBodyCopy"/>
      </w:pPr>
      <w:r>
        <w:t>When logging into the Webex desktop client, please enter your real first and last name as well as a valid email address. Be sure to select the “call me” option.</w:t>
      </w:r>
    </w:p>
    <w:p w:rsidR="00D311B2" w:rsidP="00D311B2" w14:paraId="4F2BE52E" w14:textId="77777777">
      <w:pPr>
        <w:pStyle w:val="DisclaimerBodyCopy"/>
      </w:pPr>
      <w:r>
        <w:t>PJM support staff continuously monitors Webex connections during stakeholder meetings. Anonymous users or those using false usernames or emails will be dropped from the teleconference.</w:t>
      </w:r>
    </w:p>
    <w:p w:rsidR="00D311B2" w:rsidRPr="00564B01" w:rsidP="00564B01" w14:paraId="6203FDEF" w14:textId="77777777">
      <w:pPr>
        <w:pStyle w:val="DisclaimerHeading"/>
        <w:spacing w:before="240"/>
      </w:pPr>
      <w:r w:rsidRPr="00564B01">
        <w:rPr>
          <w:bCs/>
        </w:rPr>
        <w:t>Participant Use of Webex Chat:</w:t>
      </w:r>
    </w:p>
    <w:p w:rsidR="00D311B2" w:rsidP="00D311B2" w14:paraId="4E31AD10" w14:textId="4EA401CC">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dialog shall be shared orally by entering the speaker queue.  </w:t>
      </w:r>
    </w:p>
    <w:p w:rsidR="00D311B2" w:rsidP="00D311B2" w14:paraId="62C92696" w14:textId="77777777">
      <w:pPr>
        <w:pStyle w:val="DisclaimerBodyCopy"/>
      </w:pPr>
    </w:p>
    <w:p w:rsidR="00D311B2" w:rsidP="00D311B2" w14:paraId="59DA3849" w14:textId="77777777">
      <w:pPr>
        <w:pStyle w:val="Author"/>
      </w:pPr>
    </w:p>
    <w:p w:rsidR="00D311B2" w:rsidP="00D311B2" w14:paraId="23AE22A9" w14:textId="77777777">
      <w:pPr>
        <w:pStyle w:val="Author"/>
      </w:pPr>
      <w:r w:rsidRPr="006024A0">
        <w:rPr>
          <w:noProof/>
        </w:rPr>
        <w:drawing>
          <wp:inline distT="0" distB="0" distL="0" distR="0">
            <wp:extent cx="5943600" cy="98361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D311B2" w:rsidP="00D311B2" w14:paraId="6A747493" w14:textId="77777777">
      <w:pPr>
        <w:pStyle w:val="Author"/>
      </w:pPr>
    </w:p>
    <w:p w:rsidR="00D311B2" w:rsidP="00D311B2" w14:paraId="10A91AAD" w14:textId="77777777">
      <w:pPr>
        <w:pStyle w:val="Author"/>
      </w:pPr>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D311B2" w:rsidP="00D311B2" w14:paraId="42710835" w14:textId="77777777">
      <w:pPr>
        <w:pStyle w:val="Author"/>
      </w:pPr>
    </w:p>
    <w:p w:rsidR="00D311B2" w:rsidP="00037322" w14:paraId="0554BD49" w14:textId="1ACC7D79">
      <w:pPr>
        <w:pStyle w:val="Autho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113665</wp:posOffset>
                </wp:positionV>
                <wp:extent cx="5943600" cy="552450"/>
                <wp:effectExtent l="0" t="0" r="0" b="0"/>
                <wp:wrapTopAndBottom/>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11B2" w:rsidP="00D311B2" w14:textId="175A527E">
                            <w:pPr>
                              <w:shd w:val="clear" w:color="auto" w:fill="F2F2F2" w:themeFill="background1" w:themeFillShade="F2"/>
                              <w:spacing w:after="100" w:afterAutospacing="1"/>
                              <w:jc w:val="center"/>
                              <w:rPr>
                                <w:rFonts w:cs="ArialNarrow"/>
                                <w:color w:val="013366" w:themeColor="accent1"/>
                                <w:u w:val="single"/>
                              </w:rPr>
                            </w:pPr>
                            <w:r>
                              <w:rPr>
                                <w:color w:val="013366" w:themeColor="accent1"/>
                              </w:rPr>
                              <w:t xml:space="preserve">Provide feedback on the progress of this group: </w:t>
                            </w:r>
                            <w:hyperlink r:id="rId7" w:history="1">
                              <w:r>
                                <w:rPr>
                                  <w:rStyle w:val="Hyperlink"/>
                                  <w:rFonts w:cs="ArialNarrow"/>
                                  <w:i/>
                                  <w:color w:val="013366" w:themeColor="accent1"/>
                                </w:rPr>
                                <w:t>Facilitator Feedback Form</w:t>
                              </w:r>
                            </w:hyperlink>
                            <w:r w:rsidR="001E7EC1">
                              <w:t>.</w:t>
                            </w:r>
                            <w:r>
                              <w:rPr>
                                <w:rFonts w:cs="ArialNarrow"/>
                                <w:color w:val="013366" w:themeColor="accent1"/>
                              </w:rPr>
                              <w:t xml:space="preserve"> </w:t>
                            </w:r>
                            <w:r>
                              <w:rPr>
                                <w:rFonts w:cs="ArialNarrow"/>
                                <w:color w:val="013366" w:themeColor="accent1"/>
                              </w:rPr>
                              <w:br/>
                            </w:r>
                            <w:r>
                              <w:rPr>
                                <w:color w:val="013366" w:themeColor="accent1"/>
                              </w:rPr>
                              <w:t xml:space="preserve">Visit </w:t>
                            </w:r>
                            <w:hyperlink r:id="rId8" w:history="1">
                              <w:r>
                                <w:rPr>
                                  <w:rStyle w:val="Hyperlink"/>
                                  <w:rFonts w:cs="ArialNarrow"/>
                                  <w:i/>
                                  <w:color w:val="013366" w:themeColor="accent1"/>
                                </w:rPr>
                                <w:t>learn.pjm.com</w:t>
                              </w:r>
                            </w:hyperlink>
                            <w:r>
                              <w:rPr>
                                <w:color w:val="013366" w:themeColor="accent1"/>
                              </w:rPr>
                              <w:t xml:space="preserve">, an easy-to-understand resource </w:t>
                            </w:r>
                            <w:r>
                              <w:rPr>
                                <w:rFonts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468pt;height:43.5pt;margin-top:8.95pt;margin-left:0;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D311B2" w:rsidP="00D311B2" w14:paraId="06AC378C" w14:textId="175A527E">
                      <w:pPr>
                        <w:shd w:val="clear" w:color="auto" w:fill="F2F2F2" w:themeFill="background1" w:themeFillShade="F2"/>
                        <w:spacing w:after="100" w:afterAutospacing="1"/>
                        <w:jc w:val="center"/>
                        <w:rPr>
                          <w:rFonts w:cs="ArialNarrow"/>
                          <w:color w:val="013366" w:themeColor="accent1"/>
                          <w:u w:val="single"/>
                        </w:rPr>
                      </w:pPr>
                      <w:r>
                        <w:rPr>
                          <w:color w:val="013366" w:themeColor="accent1"/>
                        </w:rPr>
                        <w:t xml:space="preserve">Provide feedback on the progress of this group: </w:t>
                      </w:r>
                      <w:hyperlink r:id="rId7" w:history="1">
                        <w:r>
                          <w:rPr>
                            <w:rStyle w:val="Hyperlink"/>
                            <w:rFonts w:cs="ArialNarrow"/>
                            <w:i/>
                            <w:color w:val="013366" w:themeColor="accent1"/>
                          </w:rPr>
                          <w:t>Facilitator Feedback Form</w:t>
                        </w:r>
                      </w:hyperlink>
                      <w:r w:rsidR="001E7EC1">
                        <w:t>.</w:t>
                      </w:r>
                      <w:r>
                        <w:rPr>
                          <w:rFonts w:cs="ArialNarrow"/>
                          <w:color w:val="013366" w:themeColor="accent1"/>
                        </w:rPr>
                        <w:t xml:space="preserve"> </w:t>
                      </w:r>
                      <w:r>
                        <w:rPr>
                          <w:rFonts w:cs="ArialNarrow"/>
                          <w:color w:val="013366" w:themeColor="accent1"/>
                        </w:rPr>
                        <w:br/>
                      </w:r>
                      <w:r>
                        <w:rPr>
                          <w:color w:val="013366" w:themeColor="accent1"/>
                        </w:rPr>
                        <w:t xml:space="preserve">Visit </w:t>
                      </w:r>
                      <w:hyperlink r:id="rId8" w:history="1">
                        <w:r>
                          <w:rPr>
                            <w:rStyle w:val="Hyperlink"/>
                            <w:rFonts w:cs="ArialNarrow"/>
                            <w:i/>
                            <w:color w:val="013366" w:themeColor="accent1"/>
                          </w:rPr>
                          <w:t>learn.pjm.com</w:t>
                        </w:r>
                      </w:hyperlink>
                      <w:r>
                        <w:rPr>
                          <w:color w:val="013366" w:themeColor="accent1"/>
                        </w:rPr>
                        <w:t xml:space="preserve">, an easy-to-understand resource </w:t>
                      </w:r>
                      <w:r>
                        <w:rPr>
                          <w:rFonts w:cs="Arial"/>
                          <w:color w:val="013366" w:themeColor="accent1"/>
                        </w:rPr>
                        <w:t>about the power industry and PJM’s role.</w:t>
                      </w:r>
                    </w:p>
                  </w:txbxContent>
                </v:textbox>
                <w10:wrap type="topAndBottom"/>
              </v:shape>
            </w:pict>
          </mc:Fallback>
        </mc:AlternateContent>
      </w:r>
    </w:p>
    <w:p w:rsidR="00A12036" w14:paraId="488A8DB8" w14:textId="59422FB0">
      <w:pPr>
        <w:spacing w:line="276" w:lineRule="auto"/>
        <w:rPr>
          <w:rFonts w:eastAsia="Times New Roman"/>
          <w:sz w:val="16"/>
          <w:szCs w:val="16"/>
        </w:rPr>
      </w:pPr>
    </w:p>
    <w:p w:rsidR="004E21AA" w14:paraId="78B91842" w14:textId="77777777">
      <w:pPr>
        <w:spacing w:line="276" w:lineRule="auto"/>
        <w:rPr>
          <w:rFonts w:eastAsia="Times New Roman"/>
          <w:b/>
          <w:bCs/>
          <w:color w:val="F79646"/>
          <w:spacing w:val="2"/>
          <w:kern w:val="28"/>
          <w:sz w:val="52"/>
          <w:szCs w:val="32"/>
        </w:rPr>
      </w:pPr>
      <w:r>
        <w:br w:type="page"/>
      </w:r>
    </w:p>
    <w:p w:rsidR="00941656" w:rsidP="00A12036" w14:paraId="7E4B3E21" w14:textId="3CFE0957">
      <w:pPr>
        <w:pStyle w:val="Title"/>
        <w:spacing w:before="360" w:line="240" w:lineRule="auto"/>
      </w:pPr>
      <w:r>
        <w:t>Appendix</w:t>
      </w:r>
    </w:p>
    <w:p w:rsidR="00A12036" w:rsidRPr="00A12036" w:rsidP="00AE1496" w14:paraId="4067D8D1" w14:textId="21D2026C">
      <w:pPr>
        <w:pStyle w:val="Title"/>
        <w:spacing w:before="360" w:line="240" w:lineRule="auto"/>
      </w:pPr>
      <w:r>
        <w:t>Panelist Bio</w:t>
      </w:r>
      <w:r w:rsidR="004E21AA">
        <w:t>graphie</w:t>
      </w:r>
      <w:r>
        <w:t>s</w:t>
      </w:r>
    </w:p>
    <w:p w:rsidR="009E3888" w:rsidRPr="009E3888" w:rsidP="009E3888" w14:paraId="54A25F68" w14:textId="07030A4A">
      <w:pPr>
        <w:rPr>
          <w:rFonts w:eastAsia="Times New Roman"/>
          <w:b/>
          <w:bCs/>
          <w:i/>
          <w:iCs/>
          <w:color w:val="00B0F0"/>
          <w:sz w:val="28"/>
          <w:szCs w:val="28"/>
        </w:rPr>
      </w:pPr>
      <w:r>
        <w:rPr>
          <w:noProof/>
        </w:rPr>
        <w:drawing>
          <wp:anchor distT="0" distB="0" distL="114300" distR="114300" simplePos="0" relativeHeight="251661312" behindDoc="0" locked="0" layoutInCell="1" allowOverlap="1">
            <wp:simplePos x="0" y="0"/>
            <wp:positionH relativeFrom="margin">
              <wp:align>left</wp:align>
            </wp:positionH>
            <wp:positionV relativeFrom="paragraph">
              <wp:posOffset>27940</wp:posOffset>
            </wp:positionV>
            <wp:extent cx="1356360" cy="1524000"/>
            <wp:effectExtent l="19050" t="19050" r="15240" b="19050"/>
            <wp:wrapSquare wrapText="bothSides"/>
            <wp:docPr id="17734137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13746" name="Picture 3"/>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2500" t="843" r="10109" b="21766"/>
                    <a:stretch>
                      <a:fillRect/>
                    </a:stretch>
                  </pic:blipFill>
                  <pic:spPr bwMode="auto">
                    <a:xfrm>
                      <a:off x="0" y="0"/>
                      <a:ext cx="1356360" cy="1524000"/>
                    </a:xfrm>
                    <a:prstGeom prst="rect">
                      <a:avLst/>
                    </a:prstGeom>
                    <a:noFill/>
                    <a:ln>
                      <a:solidFill>
                        <a:schemeClr val="accent3"/>
                      </a:solidFill>
                    </a:ln>
                  </pic:spPr>
                </pic:pic>
              </a:graphicData>
            </a:graphic>
            <wp14:sizeRelH relativeFrom="page">
              <wp14:pctWidth>0</wp14:pctWidth>
            </wp14:sizeRelH>
            <wp14:sizeRelV relativeFrom="page">
              <wp14:pctHeight>0</wp14:pctHeight>
            </wp14:sizeRelV>
          </wp:anchor>
        </w:drawing>
      </w:r>
      <w:r w:rsidR="00934F6E">
        <w:rPr>
          <w:rFonts w:eastAsia="Times New Roman"/>
          <w:b/>
          <w:bCs/>
          <w:i/>
          <w:iCs/>
          <w:color w:val="00B0F0"/>
          <w:sz w:val="28"/>
          <w:szCs w:val="28"/>
        </w:rPr>
        <w:t xml:space="preserve">Denise </w:t>
      </w:r>
      <w:r w:rsidRPr="009E3888">
        <w:rPr>
          <w:rFonts w:eastAsia="Times New Roman"/>
          <w:b/>
          <w:bCs/>
          <w:i/>
          <w:iCs/>
          <w:color w:val="00B0F0"/>
          <w:sz w:val="28"/>
          <w:szCs w:val="28"/>
        </w:rPr>
        <w:t>Foster Cronin</w:t>
      </w:r>
    </w:p>
    <w:p w:rsidR="009E3888" w:rsidRPr="009E3888" w:rsidP="009E3888" w14:paraId="7433093F" w14:textId="1CF6B2BB">
      <w:pPr>
        <w:ind w:right="-90"/>
      </w:pPr>
      <w:r>
        <w:t xml:space="preserve">Denise </w:t>
      </w:r>
      <w:r w:rsidRPr="009E3888">
        <w:t xml:space="preserve">Foster Cronin is responsible for providing strategic leadership for EKPC’s compliance program as well as direct oversight over federal energy regulatory affairs and North American Electric Reliability Corporation (NERC) compliance. Foster Cronin previously served as Senior Vice President of Federal and RTO Regulatory Affairs, overseeing federal regulatory filings related to generation and transmission operations and wholesale power markets, as well as matters related to PJM and other non-member electric utilities impacting EKPC’s operations. Prior to joining EKPC, she served as Vice President of State and Member Services at PJM Interconnection, L.L.C, (PJM) a Regional Transmission Organization that coordinates the movement of wholesale electricity in all or parts of 13 states, including Kentucky and the District of Columbia. EKPC has been a member of PJM since 2013.  </w:t>
      </w:r>
    </w:p>
    <w:p w:rsidR="009E3888" w:rsidRPr="009E3888" w:rsidP="009E3888" w14:paraId="64F6A860" w14:textId="77777777">
      <w:r w:rsidRPr="009E3888">
        <w:t>She also previously worked at Exelon Power Team and the Pennsylvania Office of Consumer Advocate.</w:t>
      </w:r>
    </w:p>
    <w:p w:rsidR="009E3888" w:rsidP="009E3888" w14:paraId="65A659B1" w14:textId="3EDD008E">
      <w:r w:rsidRPr="009E3888">
        <w:t>Foster Cronin is a graduate of Hood College and Penn State Dickinson Law.</w:t>
      </w:r>
    </w:p>
    <w:p w:rsidR="00AE1496" w:rsidP="009E3888" w14:paraId="10977E83" w14:textId="77777777"/>
    <w:p w:rsidR="00AE1496" w:rsidP="009E3888" w14:paraId="62597BA2" w14:textId="77777777"/>
    <w:p w:rsidR="00AE1496" w:rsidP="009E3888" w14:paraId="07F5E528" w14:textId="77777777"/>
    <w:p w:rsidR="00AE1496" w:rsidP="009E3888" w14:paraId="5D48AB2E" w14:textId="77777777"/>
    <w:p w:rsidR="00AE1496" w:rsidP="009E3888" w14:paraId="5BB4DA87" w14:textId="77777777"/>
    <w:p w:rsidR="00AE1496" w:rsidP="009E3888" w14:paraId="0CAE8BAC" w14:textId="77777777"/>
    <w:p w:rsidR="00AE1496" w:rsidRPr="00941656" w:rsidP="009E3888" w14:paraId="34810A67" w14:textId="77777777"/>
    <w:p w:rsidR="00941656" w:rsidRPr="00AE1496" w:rsidP="00AE1496" w14:paraId="0F202144" w14:textId="4E443991">
      <w:pPr>
        <w:ind w:right="-450"/>
        <w:rPr>
          <w:rFonts w:eastAsia="Times New Roman"/>
          <w:b/>
          <w:bCs/>
          <w:i/>
          <w:iCs/>
          <w:color w:val="00B0F0"/>
          <w:sz w:val="28"/>
          <w:szCs w:val="28"/>
        </w:rPr>
      </w:pP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30752</wp:posOffset>
            </wp:positionV>
            <wp:extent cx="1593850" cy="1600200"/>
            <wp:effectExtent l="19050" t="19050" r="25400" b="19050"/>
            <wp:wrapSquare wrapText="bothSides"/>
            <wp:docPr id="5993706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70604"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6549" cy="1602558"/>
                    </a:xfrm>
                    <a:prstGeom prst="rect">
                      <a:avLst/>
                    </a:prstGeom>
                    <a:noFill/>
                    <a:ln>
                      <a:solidFill>
                        <a:schemeClr val="accent3"/>
                      </a:solidFill>
                    </a:ln>
                  </pic:spPr>
                </pic:pic>
              </a:graphicData>
            </a:graphic>
            <wp14:sizeRelH relativeFrom="page">
              <wp14:pctWidth>0</wp14:pctWidth>
            </wp14:sizeRelH>
            <wp14:sizeRelV relativeFrom="page">
              <wp14:pctHeight>0</wp14:pctHeight>
            </wp14:sizeRelV>
          </wp:anchor>
        </w:drawing>
      </w:r>
      <w:r w:rsidRPr="009E3888">
        <w:rPr>
          <w:rFonts w:eastAsia="Times New Roman"/>
          <w:b/>
          <w:bCs/>
          <w:i/>
          <w:iCs/>
          <w:color w:val="00B0F0"/>
          <w:sz w:val="28"/>
          <w:szCs w:val="28"/>
        </w:rPr>
        <w:t>Stacey Doré</w:t>
      </w:r>
      <w:r w:rsidR="00AE1496">
        <w:rPr>
          <w:rFonts w:eastAsia="Times New Roman"/>
          <w:b/>
          <w:bCs/>
          <w:i/>
          <w:iCs/>
          <w:color w:val="00B0F0"/>
          <w:sz w:val="28"/>
          <w:szCs w:val="28"/>
        </w:rPr>
        <w:br/>
      </w:r>
      <w:r w:rsidRPr="009E3888">
        <w:t>Stacey Doré is Vistra’s chief strategy &amp; sustainability officer and executive vice president of public affairs. In this role, Doré is responsible</w:t>
      </w:r>
      <w:r w:rsidRPr="00941656">
        <w:t xml:space="preserve"> for corporate strategy and development, sustainability, regulatory and government affairs, communications, M&amp;A, and community engagement. Since re-joining the company in 2022, she has led Vistra’s three major acquisitions: the Energy Harbor nuclear generation and retail portfolio in 2024; the portfolio of gas plants from Lotus Infrastructure Partners in 2025; and the 2026 announcement of the Cogentrix gas plant portfolio, expected to close later this year. She also leads the company’s initiative to serve data center customers through long-term power purchase agreements. </w:t>
      </w:r>
    </w:p>
    <w:p w:rsidR="00941656" w:rsidRPr="00941656" w:rsidP="00AE1496" w14:paraId="5EA8DF9B" w14:textId="77777777">
      <w:pPr>
        <w:ind w:right="-450"/>
      </w:pPr>
      <w:r w:rsidRPr="00941656">
        <w:t xml:space="preserve">Doré has been with Vistra and her predecessors for a total of 12 years. She originally joined Vistra’s predecessor companies in 2008 as part of the legal team, serving in several leadership roles, including executive vice president, general counsel, and chief restructuring officer. </w:t>
      </w:r>
    </w:p>
    <w:p w:rsidR="00941656" w:rsidRPr="00941656" w:rsidP="00AE1496" w14:paraId="0F97161A" w14:textId="77777777">
      <w:pPr>
        <w:ind w:right="-450"/>
      </w:pPr>
      <w:r w:rsidRPr="00941656">
        <w:t xml:space="preserve">In 2016, she left Vistra for a time to accept the role of senior vice president and general counsel for publicly traded InfraREIT, Inc., an electric transmission and distribution company structured as a real estate investment trust. After leading the sale of InfraREIT, Stacey became president and chief executive officer of Hunt Utility Services and Sharyland Utilities, an electric utility within the Electric Reliability Council of Texas market. There she set the strategic direction of the company and led a seasoned team of professionals in developing, operating, and constructing the company’s electric transmission assets safely and reliably. Doré began her career as an attorney at Vinson &amp; Elkins, LLP in 1997. </w:t>
      </w:r>
    </w:p>
    <w:p w:rsidR="00941656" w:rsidRPr="00941656" w:rsidP="00AE1496" w14:paraId="3237A04A" w14:textId="77777777">
      <w:pPr>
        <w:ind w:right="-450"/>
      </w:pPr>
      <w:r w:rsidRPr="00941656">
        <w:t xml:space="preserve">Outside of her responsibilities at Vistra, Doré is an active member of the United Way Women of Tocqueville, a member of the Dallas Assembly, a member of the International Women’s Forum, and a graduate of the Dallas Regional Chamber’s Leadership Dallas program. </w:t>
      </w:r>
    </w:p>
    <w:p w:rsidR="009E3888" w:rsidP="00AE1496" w14:paraId="2CB3F3CB" w14:textId="6F404521">
      <w:pPr>
        <w:ind w:right="-450"/>
      </w:pPr>
      <w:r w:rsidRPr="00941656">
        <w:t>Doré received her juris doctor from Harvard Law School and a bachelor’s degree in journalism from University of Southwestern Louisiana.</w:t>
      </w:r>
    </w:p>
    <w:p w:rsidR="009E3888" w:rsidP="00AE1496" w14:paraId="21E4E08D" w14:textId="77777777">
      <w:pPr>
        <w:ind w:right="-450"/>
      </w:pPr>
    </w:p>
    <w:p w:rsidR="00E35F3D" w:rsidRPr="009E3888" w:rsidP="00AE1496" w14:paraId="5AA44A5F" w14:textId="009F2032">
      <w:pPr>
        <w:ind w:right="-450"/>
        <w:rPr>
          <w:rFonts w:eastAsia="Times New Roman"/>
          <w:b/>
          <w:bCs/>
          <w:i/>
          <w:iCs/>
          <w:color w:val="00B0F0"/>
          <w:sz w:val="28"/>
          <w:szCs w:val="28"/>
        </w:rPr>
      </w:pPr>
      <w:r>
        <w:rPr>
          <w:noProof/>
        </w:rPr>
        <w:drawing>
          <wp:anchor distT="0" distB="0" distL="114300" distR="114300" simplePos="0" relativeHeight="251662336" behindDoc="0" locked="0" layoutInCell="1" allowOverlap="1">
            <wp:simplePos x="0" y="0"/>
            <wp:positionH relativeFrom="margin">
              <wp:align>left</wp:align>
            </wp:positionH>
            <wp:positionV relativeFrom="paragraph">
              <wp:posOffset>30752</wp:posOffset>
            </wp:positionV>
            <wp:extent cx="1518285" cy="1518285"/>
            <wp:effectExtent l="19050" t="19050" r="24765" b="24765"/>
            <wp:wrapSquare wrapText="bothSides"/>
            <wp:docPr id="698647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4793"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5264" t="842" r="10841" b="15263"/>
                    <a:stretch>
                      <a:fillRect/>
                    </a:stretch>
                  </pic:blipFill>
                  <pic:spPr bwMode="auto">
                    <a:xfrm>
                      <a:off x="0" y="0"/>
                      <a:ext cx="1518285" cy="1518285"/>
                    </a:xfrm>
                    <a:prstGeom prst="rect">
                      <a:avLst/>
                    </a:prstGeom>
                    <a:noFill/>
                    <a:ln>
                      <a:solidFill>
                        <a:schemeClr val="accent3"/>
                      </a:solidFill>
                    </a:ln>
                  </pic:spPr>
                </pic:pic>
              </a:graphicData>
            </a:graphic>
            <wp14:sizeRelH relativeFrom="page">
              <wp14:pctWidth>0</wp14:pctWidth>
            </wp14:sizeRelH>
            <wp14:sizeRelV relativeFrom="page">
              <wp14:pctHeight>0</wp14:pctHeight>
            </wp14:sizeRelV>
          </wp:anchor>
        </w:drawing>
      </w:r>
      <w:r w:rsidRPr="009E3888">
        <w:rPr>
          <w:rFonts w:eastAsia="Times New Roman"/>
          <w:b/>
          <w:bCs/>
          <w:i/>
          <w:iCs/>
          <w:color w:val="00B0F0"/>
          <w:sz w:val="28"/>
          <w:szCs w:val="28"/>
        </w:rPr>
        <w:t>S</w:t>
      </w:r>
      <w:r>
        <w:rPr>
          <w:rFonts w:eastAsia="Times New Roman"/>
          <w:b/>
          <w:bCs/>
          <w:i/>
          <w:iCs/>
          <w:color w:val="00B0F0"/>
          <w:sz w:val="28"/>
          <w:szCs w:val="28"/>
        </w:rPr>
        <w:t>herman Knight</w:t>
      </w:r>
    </w:p>
    <w:p w:rsidR="00E35F3D" w:rsidRPr="00EE1142" w:rsidP="00AE1496" w14:paraId="58E86070" w14:textId="4B31FC58">
      <w:pPr>
        <w:ind w:right="-450"/>
      </w:pPr>
      <w:r w:rsidRPr="00EE1142">
        <w:t>Sherman leads CPV as the company’s Chief Executive Officer (CEO), taking the role in January of 2025. He most recently served as CPV’s President and Chief Commercial Officer where he was responsible for commercial strategy, the origination of off-take agreements and hedges for development projects and overseeing the commodity marketing and trading activities for CPV’s managed portfolio. Sherman joined the company in 2006 and has more than 25 years of experience in the energy sector.</w:t>
      </w:r>
    </w:p>
    <w:p w:rsidR="00E35F3D" w:rsidRPr="00EE1142" w:rsidP="00AE1496" w14:paraId="65C89FBF" w14:textId="77777777">
      <w:pPr>
        <w:ind w:right="-720"/>
      </w:pPr>
      <w:r w:rsidRPr="00EE1142">
        <w:t>Prior to CPV, Sherman was Director, Portfolio Management at PG&amp;E NEG where he was responsible for the daily commercial optimization and fuel supply contracting of over 7,000 MW of gas, oil, coal, and hydro capacity. Sherman holds an MBA from Columbia Business School at Columbia University, a M.S. in Environmental Engineering from Columbia University and a B.S. in Mechanical Engineering from Stanford University.</w:t>
      </w:r>
    </w:p>
    <w:p w:rsidR="00E35F3D" w:rsidRPr="009E3888" w:rsidP="00E35F3D" w14:paraId="2AD585C5" w14:textId="4519B09A">
      <w:pPr>
        <w:rPr>
          <w:rFonts w:eastAsia="Times New Roman"/>
          <w:b/>
          <w:bCs/>
          <w:i/>
          <w:iCs/>
          <w:color w:val="00B0F0"/>
          <w:sz w:val="28"/>
          <w:szCs w:val="28"/>
        </w:rPr>
      </w:pPr>
      <w:r>
        <w:rPr>
          <w:noProof/>
        </w:rPr>
        <w:drawing>
          <wp:anchor distT="0" distB="0" distL="114300" distR="114300" simplePos="0" relativeHeight="251663360" behindDoc="0" locked="0" layoutInCell="1" allowOverlap="1">
            <wp:simplePos x="0" y="0"/>
            <wp:positionH relativeFrom="margin">
              <wp:align>left</wp:align>
            </wp:positionH>
            <wp:positionV relativeFrom="paragraph">
              <wp:posOffset>28575</wp:posOffset>
            </wp:positionV>
            <wp:extent cx="1227455" cy="1524000"/>
            <wp:effectExtent l="19050" t="19050" r="10795" b="19050"/>
            <wp:wrapSquare wrapText="bothSides"/>
            <wp:docPr id="16605072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07249" name="Picture 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l="24436" t="6358" r="27118" b="45196"/>
                    <a:stretch>
                      <a:fillRect/>
                    </a:stretch>
                  </pic:blipFill>
                  <pic:spPr bwMode="auto">
                    <a:xfrm>
                      <a:off x="0" y="0"/>
                      <a:ext cx="1227455" cy="1524000"/>
                    </a:xfrm>
                    <a:prstGeom prst="rect">
                      <a:avLst/>
                    </a:prstGeom>
                    <a:noFill/>
                    <a:ln>
                      <a:solidFill>
                        <a:schemeClr val="accent3"/>
                      </a:solidFill>
                    </a:ln>
                  </pic:spPr>
                </pic:pic>
              </a:graphicData>
            </a:graphic>
            <wp14:sizeRelH relativeFrom="page">
              <wp14:pctWidth>0</wp14:pctWidth>
            </wp14:sizeRelH>
            <wp14:sizeRelV relativeFrom="page">
              <wp14:pctHeight>0</wp14:pctHeight>
            </wp14:sizeRelV>
          </wp:anchor>
        </w:drawing>
      </w:r>
      <w:r>
        <w:rPr>
          <w:rFonts w:eastAsia="Times New Roman"/>
          <w:b/>
          <w:bCs/>
          <w:i/>
          <w:iCs/>
          <w:color w:val="00B0F0"/>
          <w:sz w:val="28"/>
          <w:szCs w:val="28"/>
        </w:rPr>
        <w:t>Br</w:t>
      </w:r>
      <w:r w:rsidR="006C137E">
        <w:rPr>
          <w:rFonts w:eastAsia="Times New Roman"/>
          <w:b/>
          <w:bCs/>
          <w:i/>
          <w:iCs/>
          <w:color w:val="00B0F0"/>
          <w:sz w:val="28"/>
          <w:szCs w:val="28"/>
        </w:rPr>
        <w:t>y</w:t>
      </w:r>
      <w:r>
        <w:rPr>
          <w:rFonts w:eastAsia="Times New Roman"/>
          <w:b/>
          <w:bCs/>
          <w:i/>
          <w:iCs/>
          <w:color w:val="00B0F0"/>
          <w:sz w:val="28"/>
          <w:szCs w:val="28"/>
        </w:rPr>
        <w:t>an Long</w:t>
      </w:r>
    </w:p>
    <w:p w:rsidR="00AE1496" w:rsidP="006825D4" w14:paraId="680B4BD1" w14:textId="291BA82F">
      <w:pPr>
        <w:ind w:right="270"/>
      </w:pPr>
      <w:r w:rsidRPr="00E35F3D">
        <w:t>Bryan Long is an Executive Director in JPMorgan</w:t>
      </w:r>
      <w:r w:rsidR="007F3919">
        <w:t xml:space="preserve"> </w:t>
      </w:r>
      <w:r w:rsidRPr="00E35F3D">
        <w:t>Chase’s Commodities Group, specializing in wholesale power and renewable energy transactions. With more than 20 years of experience across U.S. power trading, origination, and leadership roles, he brings deep expertise in U.S. electricity markets and a strong track record of structuring and executing commercial strategies. Bryan has designed and implemented large-scale hedging solutions with utilities, municipal and cooperative counterparties, independent power producers (IPPs), and other public-private stakeholders across both competitive and bilateral markets</w:t>
      </w:r>
      <w:r>
        <w:t>.</w:t>
      </w:r>
    </w:p>
    <w:p w:rsidR="006825D4" w:rsidP="006825D4" w14:paraId="6A045819" w14:textId="77777777">
      <w:pPr>
        <w:ind w:right="270"/>
      </w:pPr>
    </w:p>
    <w:p w:rsidR="00AE1496" w:rsidP="00AE1496" w14:paraId="1A613C1C" w14:textId="77777777">
      <w:pPr>
        <w:pStyle w:val="Heading2"/>
      </w:pPr>
      <w:r>
        <w:rPr>
          <w:noProof/>
        </w:rPr>
        <w:drawing>
          <wp:anchor distT="0" distB="0" distL="114300" distR="114300" simplePos="0" relativeHeight="251664384" behindDoc="0" locked="0" layoutInCell="1" allowOverlap="1">
            <wp:simplePos x="0" y="0"/>
            <wp:positionH relativeFrom="column">
              <wp:posOffset>31750</wp:posOffset>
            </wp:positionH>
            <wp:positionV relativeFrom="paragraph">
              <wp:posOffset>44450</wp:posOffset>
            </wp:positionV>
            <wp:extent cx="1524000" cy="1524000"/>
            <wp:effectExtent l="19050" t="19050" r="19050" b="19050"/>
            <wp:wrapSquare wrapText="bothSides"/>
            <wp:docPr id="9374560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456058" name="Picture 2"/>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9662" t="8213" r="13043" b="14492"/>
                    <a:stretch>
                      <a:fillRect/>
                    </a:stretch>
                  </pic:blipFill>
                  <pic:spPr bwMode="auto">
                    <a:xfrm>
                      <a:off x="0" y="0"/>
                      <a:ext cx="1524000" cy="1524000"/>
                    </a:xfrm>
                    <a:prstGeom prst="rect">
                      <a:avLst/>
                    </a:prstGeom>
                    <a:noFill/>
                    <a:ln>
                      <a:solidFill>
                        <a:schemeClr val="accent3"/>
                      </a:solidFill>
                    </a:ln>
                  </pic:spPr>
                </pic:pic>
              </a:graphicData>
            </a:graphic>
            <wp14:sizeRelH relativeFrom="page">
              <wp14:pctWidth>0</wp14:pctWidth>
            </wp14:sizeRelH>
            <wp14:sizeRelV relativeFrom="page">
              <wp14:pctHeight>0</wp14:pctHeight>
            </wp14:sizeRelV>
          </wp:anchor>
        </w:drawing>
      </w:r>
      <w:r w:rsidRPr="00B83C24">
        <w:t>Curt</w:t>
      </w:r>
      <w:r>
        <w:t>is A.</w:t>
      </w:r>
      <w:r w:rsidRPr="00B83C24">
        <w:t xml:space="preserve"> Morgan</w:t>
      </w:r>
    </w:p>
    <w:p w:rsidR="00AE1496" w:rsidP="00AE1496" w14:paraId="065021CF" w14:textId="1F4BC9C7">
      <w:r w:rsidRPr="00A12036">
        <w:t>Curtis A. Morgan,</w:t>
      </w:r>
      <w:r>
        <w:rPr>
          <w:b/>
          <w:bCs/>
        </w:rPr>
        <w:t xml:space="preserve"> </w:t>
      </w:r>
      <w:r>
        <w:t xml:space="preserve">has 43 years in the broader energy industry with approximately 20 years as a CEO. He </w:t>
      </w:r>
      <w:r w:rsidRPr="00B83C24">
        <w:t xml:space="preserve">is </w:t>
      </w:r>
      <w:r>
        <w:t xml:space="preserve">currently Chairman and </w:t>
      </w:r>
      <w:r w:rsidRPr="00B83C24">
        <w:t>CEO of Alpha</w:t>
      </w:r>
      <w:r>
        <w:t xml:space="preserve"> </w:t>
      </w:r>
      <w:r w:rsidRPr="00B83C24">
        <w:t>Gen</w:t>
      </w:r>
      <w:r>
        <w:t>eration, one of the largest privately owned competitive power generation companies in the U.S. with over 14,000 MW in the PJM, NYISO, ISONE, CAISO markets</w:t>
      </w:r>
      <w:r w:rsidRPr="00B83C24">
        <w:t>. Mr. Morgan was previously CEO of Vistra</w:t>
      </w:r>
      <w:r>
        <w:t xml:space="preserve"> Corp</w:t>
      </w:r>
      <w:r w:rsidRPr="00B83C24">
        <w:t>, an integrated retail electricity and power generation company. During his tenure,</w:t>
      </w:r>
      <w:r>
        <w:t xml:space="preserve"> he led</w:t>
      </w:r>
      <w:r w:rsidRPr="00B83C24">
        <w:t xml:space="preserve"> Vistra </w:t>
      </w:r>
      <w:r>
        <w:t>to become</w:t>
      </w:r>
      <w:r w:rsidRPr="00B83C24">
        <w:t xml:space="preserve"> a power and energy transition leader while transforming it from a single-state provider into one of the largest </w:t>
      </w:r>
      <w:r>
        <w:t>integrated</w:t>
      </w:r>
      <w:r w:rsidRPr="00B83C24">
        <w:t xml:space="preserve"> power</w:t>
      </w:r>
      <w:r>
        <w:t xml:space="preserve"> </w:t>
      </w:r>
      <w:r w:rsidRPr="00B83C24">
        <w:t>producers and retailers in the country</w:t>
      </w:r>
      <w:r>
        <w:t>, including converting the Company from a predominantly coal-fueled generator to lower carbon emitting natural gas</w:t>
      </w:r>
      <w:r w:rsidRPr="00B83C24">
        <w:t xml:space="preserve">. </w:t>
      </w:r>
      <w:r>
        <w:t xml:space="preserve">In addition, Vistra became a leader in repurposing coal generation sites to battery storage and solar and led the industry to a lower leverage business model, strengthening balance sheets and bolstering equity values. </w:t>
      </w:r>
      <w:r w:rsidRPr="00B83C24">
        <w:t>During his career, Mr. Morgan has held leadership responsibilities in nearly every major U.S. power market. Mr. Morgan also served as the President and CEO of EquiPower Resources Corp. and FirstLight Power Resources, Inc., and has held leadership positions at NRG Energy, Mirant Corporation, Reliant Energy and BP Amoco.</w:t>
      </w:r>
      <w:r>
        <w:t xml:space="preserve"> </w:t>
      </w:r>
      <w:r w:rsidRPr="00B83C24">
        <w:t xml:space="preserve">He received his undergraduate degree </w:t>
      </w:r>
      <w:r>
        <w:t xml:space="preserve">in accounting </w:t>
      </w:r>
      <w:r w:rsidRPr="00B83C24">
        <w:t>from Western Illinois University and an MBA from The University of Chicago</w:t>
      </w:r>
      <w:r>
        <w:t xml:space="preserve"> in finance</w:t>
      </w:r>
      <w:r w:rsidRPr="00B83C24">
        <w:t>.</w:t>
      </w:r>
    </w:p>
    <w:p w:rsidR="00AE1496" w:rsidP="00E35F3D" w14:paraId="3285CC32" w14:textId="77777777"/>
    <w:sectPr w:rsidSect="003D4105">
      <w:headerReference w:type="default" r:id="rId14"/>
      <w:footerReference w:type="default" r:id="rId15"/>
      <w:pgSz w:w="12240" w:h="15840"/>
      <w:pgMar w:top="23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105" w14:paraId="20C05366" w14:textId="77777777">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5654775</wp:posOffset>
              </wp:positionH>
              <wp:positionV relativeFrom="paragraph">
                <wp:posOffset>-19050</wp:posOffset>
              </wp:positionV>
              <wp:extent cx="606392" cy="269507"/>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6392" cy="2695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105" w:rsidRPr="003D4105" w14:textId="55BAB691">
                          <w:pPr>
                            <w:rPr>
                              <w:b/>
                              <w:color w:val="FFFFFF" w:themeColor="background1"/>
                            </w:rPr>
                          </w:pPr>
                          <w:r>
                            <w:rPr>
                              <w:b/>
                              <w:color w:val="FFFFFF" w:themeColor="background1"/>
                            </w:rPr>
                            <w:t>©202</w:t>
                          </w:r>
                          <w:r w:rsidR="0096028C">
                            <w:rPr>
                              <w:b/>
                              <w:color w:val="FFFFFF" w:themeColor="background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47.75pt;height:21.2pt;margin-top:-1.5pt;margin-left:445.25pt;mso-height-percent:0;mso-height-relative:margin;mso-wrap-distance-bottom:0;mso-wrap-distance-left:9pt;mso-wrap-distance-right:9pt;mso-wrap-distance-top:0;mso-wrap-style:square;position:absolute;visibility:visible;v-text-anchor:top;z-index:251660288" filled="f" stroked="f" strokeweight="0.5pt">
              <v:textbox>
                <w:txbxContent>
                  <w:p w:rsidR="003D4105" w:rsidRPr="003D4105" w14:paraId="286B2A65" w14:textId="55BAB691">
                    <w:pPr>
                      <w:rPr>
                        <w:b/>
                        <w:color w:val="FFFFFF" w:themeColor="background1"/>
                      </w:rPr>
                    </w:pPr>
                    <w:r>
                      <w:rPr>
                        <w:b/>
                        <w:color w:val="FFFFFF" w:themeColor="background1"/>
                      </w:rPr>
                      <w:t>©202</w:t>
                    </w:r>
                    <w:r w:rsidR="0096028C">
                      <w:rPr>
                        <w:b/>
                        <w:color w:val="FFFFFF" w:themeColor="background1"/>
                      </w:rPr>
                      <w:t>6</w:t>
                    </w:r>
                  </w:p>
                </w:txbxContent>
              </v:textbox>
            </v:shape>
          </w:pict>
        </mc:Fallback>
      </mc:AlternateContent>
    </w:r>
    <w:r w:rsidRPr="003D4105">
      <w:rPr>
        <w:noProof/>
      </w:rPr>
      <w:drawing>
        <wp:anchor distT="0" distB="0" distL="114300" distR="114300" simplePos="0" relativeHeight="251658240" behindDoc="1" locked="0" layoutInCell="1" allowOverlap="1">
          <wp:simplePos x="0" y="0"/>
          <wp:positionH relativeFrom="column">
            <wp:posOffset>-934721</wp:posOffset>
          </wp:positionH>
          <wp:positionV relativeFrom="paragraph">
            <wp:posOffset>-457200</wp:posOffset>
          </wp:positionV>
          <wp:extent cx="7821001" cy="1100455"/>
          <wp:effectExtent l="0" t="0" r="8890" b="4445"/>
          <wp:wrapNone/>
          <wp:docPr id="2030638959" name="Picture 2030638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38959" name=""/>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821001" cy="1100455"/>
                  </a:xfrm>
                  <a:prstGeom prst="rect">
                    <a:avLst/>
                  </a:prstGeom>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105" w:rsidP="003D4105" w14:paraId="5AD793A1" w14:textId="7DC72302">
    <w:pPr>
      <w:pStyle w:val="Header"/>
      <w:jc w:val="both"/>
    </w:pPr>
    <w:r w:rsidRPr="003D4105">
      <w:rPr>
        <w:noProof/>
      </w:rPr>
      <w:drawing>
        <wp:anchor distT="0" distB="0" distL="114300" distR="114300" simplePos="0" relativeHeight="251658240" behindDoc="1" locked="0" layoutInCell="1" allowOverlap="1">
          <wp:simplePos x="0" y="0"/>
          <wp:positionH relativeFrom="column">
            <wp:posOffset>-934720</wp:posOffset>
          </wp:positionH>
          <wp:positionV relativeFrom="paragraph">
            <wp:posOffset>-462280</wp:posOffset>
          </wp:positionV>
          <wp:extent cx="7811768" cy="1579880"/>
          <wp:effectExtent l="0" t="0" r="0" b="1270"/>
          <wp:wrapNone/>
          <wp:docPr id="1685697916" name="Picture 1685697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697916" name=""/>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811768" cy="15798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14D88"/>
    <w:multiLevelType w:val="hybridMultilevel"/>
    <w:tmpl w:val="518E1B04"/>
    <w:lvl w:ilvl="0">
      <w:start w:val="1"/>
      <w:numFmt w:val="decimal"/>
      <w:pStyle w:val="ListParagraph"/>
      <w:lvlText w:val="%1."/>
      <w:lvlJc w:val="left"/>
      <w:pPr>
        <w:ind w:left="720" w:hanging="360"/>
      </w:pPr>
      <w:rPr>
        <w:rFonts w:ascii="Arial" w:hAnsi="Arial" w:hint="default"/>
        <w:b/>
        <w:i w:val="0"/>
        <w:color w:val="808080" w:themeColor="background1" w:themeShade="8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304318"/>
    <w:multiLevelType w:val="hybridMultilevel"/>
    <w:tmpl w:val="70C4AA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FB4DDA"/>
    <w:multiLevelType w:val="hybridMultilevel"/>
    <w:tmpl w:val="6B1814F2"/>
    <w:lvl w:ilvl="0">
      <w:start w:val="1"/>
      <w:numFmt w:val="bullet"/>
      <w:pStyle w:val="List-BulletsBOLD"/>
      <w:lvlText w:val=""/>
      <w:lvlJc w:val="left"/>
      <w:pPr>
        <w:ind w:left="720" w:hanging="360"/>
      </w:pPr>
      <w:rPr>
        <w:rFonts w:ascii="Symbol" w:hAnsi="Symbol" w:hint="default"/>
        <w:color w:val="008FC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E86087"/>
    <w:multiLevelType w:val="hybridMultilevel"/>
    <w:tmpl w:val="203E400C"/>
    <w:lvl w:ilvl="0">
      <w:start w:val="1"/>
      <w:numFmt w:val="decimal"/>
      <w:pStyle w:val="ListSubhead1"/>
      <w:lvlText w:val="%1."/>
      <w:lvlJc w:val="left"/>
      <w:pPr>
        <w:ind w:left="360" w:hanging="360"/>
      </w:pPr>
      <w:rPr>
        <w:b w:val="0"/>
      </w:rPr>
    </w:lvl>
    <w:lvl w:ilvl="1">
      <w:start w:val="1"/>
      <w:numFmt w:val="lowerLetter"/>
      <w:lvlText w:val="%2."/>
      <w:lvlJc w:val="left"/>
      <w:pPr>
        <w:ind w:left="-8928" w:hanging="72"/>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8D63892"/>
    <w:multiLevelType w:val="multilevel"/>
    <w:tmpl w:val="EABE042E"/>
    <w:lvl w:ilvl="0">
      <w:start w:val="1"/>
      <w:numFmt w:val="upperLetter"/>
      <w:pStyle w:val="Level2Numbering"/>
      <w:lvlText w:val="%1."/>
      <w:lvlJc w:val="left"/>
      <w:pPr>
        <w:ind w:left="1080" w:hanging="360"/>
      </w:pPr>
      <w:rPr>
        <w:rFonts w:hint="default"/>
        <w:b/>
        <w:i w:val="0"/>
        <w:color w:val="80808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38DA3965"/>
    <w:multiLevelType w:val="hybridMultilevel"/>
    <w:tmpl w:val="45FC29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B057D8F"/>
    <w:multiLevelType w:val="hybridMultilevel"/>
    <w:tmpl w:val="EDE28C54"/>
    <w:lvl w:ilvl="0">
      <w:start w:val="1"/>
      <w:numFmt w:val="decimal"/>
      <w:lvlText w:val="%1."/>
      <w:lvlJc w:val="left"/>
      <w:pPr>
        <w:ind w:left="360" w:hanging="360"/>
      </w:pPr>
    </w:lvl>
    <w:lvl w:ilvl="1">
      <w:start w:val="1"/>
      <w:numFmt w:val="upp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BBC61C7"/>
    <w:multiLevelType w:val="hybridMultilevel"/>
    <w:tmpl w:val="BBE2758A"/>
    <w:lvl w:ilvl="0">
      <w:start w:val="1"/>
      <w:numFmt w:val="decimal"/>
      <w:pStyle w:val="Level1Numb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4"/>
  </w:num>
  <w:num w:numId="9">
    <w:abstractNumId w:val="7"/>
  </w:num>
  <w:num w:numId="10">
    <w:abstractNumId w:val="3"/>
  </w:num>
  <w:num w:numId="11">
    <w:abstractNumId w:val="6"/>
  </w:num>
  <w:num w:numId="12">
    <w:abstractNumId w:val="1"/>
  </w:num>
  <w:num w:numId="13">
    <w:abstractNumId w:val="4"/>
  </w:num>
  <w:num w:numId="14">
    <w:abstractNumId w:val="7"/>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5"/>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05"/>
    <w:rsid w:val="0000502E"/>
    <w:rsid w:val="00007315"/>
    <w:rsid w:val="00012262"/>
    <w:rsid w:val="0001316B"/>
    <w:rsid w:val="00023E8A"/>
    <w:rsid w:val="0002431F"/>
    <w:rsid w:val="0003348C"/>
    <w:rsid w:val="00033610"/>
    <w:rsid w:val="00037322"/>
    <w:rsid w:val="000403FD"/>
    <w:rsid w:val="0004055A"/>
    <w:rsid w:val="00040783"/>
    <w:rsid w:val="000534F6"/>
    <w:rsid w:val="000557A3"/>
    <w:rsid w:val="0006396D"/>
    <w:rsid w:val="0007379E"/>
    <w:rsid w:val="00075D40"/>
    <w:rsid w:val="00080649"/>
    <w:rsid w:val="00093D22"/>
    <w:rsid w:val="000A5B75"/>
    <w:rsid w:val="000D1EAC"/>
    <w:rsid w:val="000D7397"/>
    <w:rsid w:val="000F03E8"/>
    <w:rsid w:val="001025FE"/>
    <w:rsid w:val="00105B5E"/>
    <w:rsid w:val="001071DB"/>
    <w:rsid w:val="00127359"/>
    <w:rsid w:val="001610C1"/>
    <w:rsid w:val="00162257"/>
    <w:rsid w:val="00185C52"/>
    <w:rsid w:val="001A0D8B"/>
    <w:rsid w:val="001C14B1"/>
    <w:rsid w:val="001C310C"/>
    <w:rsid w:val="001D4CAC"/>
    <w:rsid w:val="001E7EC1"/>
    <w:rsid w:val="001F5376"/>
    <w:rsid w:val="00203F92"/>
    <w:rsid w:val="00212C27"/>
    <w:rsid w:val="002166F0"/>
    <w:rsid w:val="00217D47"/>
    <w:rsid w:val="00223856"/>
    <w:rsid w:val="002302B5"/>
    <w:rsid w:val="00236965"/>
    <w:rsid w:val="00240663"/>
    <w:rsid w:val="00241124"/>
    <w:rsid w:val="0024174E"/>
    <w:rsid w:val="002530CC"/>
    <w:rsid w:val="00261163"/>
    <w:rsid w:val="00270768"/>
    <w:rsid w:val="002830EF"/>
    <w:rsid w:val="002920BB"/>
    <w:rsid w:val="002F3538"/>
    <w:rsid w:val="00311298"/>
    <w:rsid w:val="00314A07"/>
    <w:rsid w:val="00314B14"/>
    <w:rsid w:val="003345C4"/>
    <w:rsid w:val="0033465C"/>
    <w:rsid w:val="0033636A"/>
    <w:rsid w:val="00346F83"/>
    <w:rsid w:val="0035217C"/>
    <w:rsid w:val="00355ACC"/>
    <w:rsid w:val="00361BC6"/>
    <w:rsid w:val="003630AD"/>
    <w:rsid w:val="0036532F"/>
    <w:rsid w:val="003A5141"/>
    <w:rsid w:val="003A60D1"/>
    <w:rsid w:val="003B093B"/>
    <w:rsid w:val="003C3320"/>
    <w:rsid w:val="003D327B"/>
    <w:rsid w:val="003D3852"/>
    <w:rsid w:val="003D4105"/>
    <w:rsid w:val="003E50EC"/>
    <w:rsid w:val="003E7463"/>
    <w:rsid w:val="004303F8"/>
    <w:rsid w:val="0049183C"/>
    <w:rsid w:val="00493D4D"/>
    <w:rsid w:val="004A0707"/>
    <w:rsid w:val="004B09DF"/>
    <w:rsid w:val="004B505D"/>
    <w:rsid w:val="004D0428"/>
    <w:rsid w:val="004E21AA"/>
    <w:rsid w:val="004F00DA"/>
    <w:rsid w:val="004F5B8C"/>
    <w:rsid w:val="00507C6D"/>
    <w:rsid w:val="0051757A"/>
    <w:rsid w:val="00541C53"/>
    <w:rsid w:val="0055050A"/>
    <w:rsid w:val="005528A0"/>
    <w:rsid w:val="0055351D"/>
    <w:rsid w:val="00564B01"/>
    <w:rsid w:val="005670CC"/>
    <w:rsid w:val="00573C32"/>
    <w:rsid w:val="00576FAB"/>
    <w:rsid w:val="0058257E"/>
    <w:rsid w:val="00590566"/>
    <w:rsid w:val="00597B01"/>
    <w:rsid w:val="005A41DE"/>
    <w:rsid w:val="005B71BF"/>
    <w:rsid w:val="005C6C54"/>
    <w:rsid w:val="005C7241"/>
    <w:rsid w:val="005F7B70"/>
    <w:rsid w:val="0060133F"/>
    <w:rsid w:val="00630276"/>
    <w:rsid w:val="006303E4"/>
    <w:rsid w:val="0063040C"/>
    <w:rsid w:val="006363DE"/>
    <w:rsid w:val="006365E4"/>
    <w:rsid w:val="006825D4"/>
    <w:rsid w:val="00695AE9"/>
    <w:rsid w:val="006A288E"/>
    <w:rsid w:val="006B3045"/>
    <w:rsid w:val="006B3811"/>
    <w:rsid w:val="006C137E"/>
    <w:rsid w:val="006C2272"/>
    <w:rsid w:val="006C669F"/>
    <w:rsid w:val="006F06CA"/>
    <w:rsid w:val="006F25EC"/>
    <w:rsid w:val="00712FD1"/>
    <w:rsid w:val="00733935"/>
    <w:rsid w:val="0073666E"/>
    <w:rsid w:val="0075486A"/>
    <w:rsid w:val="0077317C"/>
    <w:rsid w:val="00773E4C"/>
    <w:rsid w:val="007809BD"/>
    <w:rsid w:val="007877E5"/>
    <w:rsid w:val="007A01DC"/>
    <w:rsid w:val="007C0A64"/>
    <w:rsid w:val="007C7EEC"/>
    <w:rsid w:val="007D61BB"/>
    <w:rsid w:val="007E01F4"/>
    <w:rsid w:val="007E0A39"/>
    <w:rsid w:val="007E563E"/>
    <w:rsid w:val="007F3919"/>
    <w:rsid w:val="00813106"/>
    <w:rsid w:val="0083249B"/>
    <w:rsid w:val="00832DF6"/>
    <w:rsid w:val="00845A3C"/>
    <w:rsid w:val="00863C92"/>
    <w:rsid w:val="008723C9"/>
    <w:rsid w:val="00873762"/>
    <w:rsid w:val="00877497"/>
    <w:rsid w:val="0089276B"/>
    <w:rsid w:val="008B076D"/>
    <w:rsid w:val="008B33CE"/>
    <w:rsid w:val="008C32ED"/>
    <w:rsid w:val="008D1354"/>
    <w:rsid w:val="008D4A5C"/>
    <w:rsid w:val="008D7541"/>
    <w:rsid w:val="008F2BAA"/>
    <w:rsid w:val="008F5EBE"/>
    <w:rsid w:val="00905AB3"/>
    <w:rsid w:val="00907D3D"/>
    <w:rsid w:val="0091519D"/>
    <w:rsid w:val="0092623F"/>
    <w:rsid w:val="00930607"/>
    <w:rsid w:val="00934F6E"/>
    <w:rsid w:val="009358BC"/>
    <w:rsid w:val="00941656"/>
    <w:rsid w:val="00944E10"/>
    <w:rsid w:val="009553CD"/>
    <w:rsid w:val="0096028C"/>
    <w:rsid w:val="009633EC"/>
    <w:rsid w:val="00987E4A"/>
    <w:rsid w:val="00987E80"/>
    <w:rsid w:val="009B4C98"/>
    <w:rsid w:val="009C3BDA"/>
    <w:rsid w:val="009C4615"/>
    <w:rsid w:val="009C76B7"/>
    <w:rsid w:val="009E3888"/>
    <w:rsid w:val="009E4C12"/>
    <w:rsid w:val="009E7720"/>
    <w:rsid w:val="00A03792"/>
    <w:rsid w:val="00A12036"/>
    <w:rsid w:val="00A30D0E"/>
    <w:rsid w:val="00A6394C"/>
    <w:rsid w:val="00A64108"/>
    <w:rsid w:val="00A7017F"/>
    <w:rsid w:val="00A73156"/>
    <w:rsid w:val="00A737EE"/>
    <w:rsid w:val="00A8281C"/>
    <w:rsid w:val="00AB055E"/>
    <w:rsid w:val="00AB4D5D"/>
    <w:rsid w:val="00AC301B"/>
    <w:rsid w:val="00AE1496"/>
    <w:rsid w:val="00B00C2E"/>
    <w:rsid w:val="00B02ED1"/>
    <w:rsid w:val="00B11F6E"/>
    <w:rsid w:val="00B15745"/>
    <w:rsid w:val="00B23565"/>
    <w:rsid w:val="00B35CD1"/>
    <w:rsid w:val="00B37A6A"/>
    <w:rsid w:val="00B5253F"/>
    <w:rsid w:val="00B547EF"/>
    <w:rsid w:val="00B56973"/>
    <w:rsid w:val="00B62597"/>
    <w:rsid w:val="00B673AE"/>
    <w:rsid w:val="00B83C24"/>
    <w:rsid w:val="00B87913"/>
    <w:rsid w:val="00BA16F9"/>
    <w:rsid w:val="00BA7248"/>
    <w:rsid w:val="00BB6921"/>
    <w:rsid w:val="00BB7250"/>
    <w:rsid w:val="00BC234C"/>
    <w:rsid w:val="00BD75E7"/>
    <w:rsid w:val="00BE2431"/>
    <w:rsid w:val="00C10A93"/>
    <w:rsid w:val="00C1175F"/>
    <w:rsid w:val="00C16722"/>
    <w:rsid w:val="00C20277"/>
    <w:rsid w:val="00C21E07"/>
    <w:rsid w:val="00C23F76"/>
    <w:rsid w:val="00C24EAC"/>
    <w:rsid w:val="00C4171F"/>
    <w:rsid w:val="00C4733B"/>
    <w:rsid w:val="00C5277C"/>
    <w:rsid w:val="00C61DA7"/>
    <w:rsid w:val="00C74C9A"/>
    <w:rsid w:val="00C77BF3"/>
    <w:rsid w:val="00C8106F"/>
    <w:rsid w:val="00C8386C"/>
    <w:rsid w:val="00C945D2"/>
    <w:rsid w:val="00CC2A20"/>
    <w:rsid w:val="00CC7921"/>
    <w:rsid w:val="00CD5726"/>
    <w:rsid w:val="00CE451E"/>
    <w:rsid w:val="00CE7D85"/>
    <w:rsid w:val="00CF619B"/>
    <w:rsid w:val="00D005AB"/>
    <w:rsid w:val="00D03649"/>
    <w:rsid w:val="00D074A6"/>
    <w:rsid w:val="00D120A4"/>
    <w:rsid w:val="00D15869"/>
    <w:rsid w:val="00D24F65"/>
    <w:rsid w:val="00D268D2"/>
    <w:rsid w:val="00D311B2"/>
    <w:rsid w:val="00D37570"/>
    <w:rsid w:val="00D44BA2"/>
    <w:rsid w:val="00D5271D"/>
    <w:rsid w:val="00D54F91"/>
    <w:rsid w:val="00D60246"/>
    <w:rsid w:val="00D629A5"/>
    <w:rsid w:val="00D677C0"/>
    <w:rsid w:val="00D81222"/>
    <w:rsid w:val="00D843CB"/>
    <w:rsid w:val="00D97E43"/>
    <w:rsid w:val="00DA23DE"/>
    <w:rsid w:val="00DA3DE8"/>
    <w:rsid w:val="00DA644C"/>
    <w:rsid w:val="00DC2A7B"/>
    <w:rsid w:val="00DC5805"/>
    <w:rsid w:val="00DD21E0"/>
    <w:rsid w:val="00DF09A4"/>
    <w:rsid w:val="00DF1112"/>
    <w:rsid w:val="00E1159F"/>
    <w:rsid w:val="00E11972"/>
    <w:rsid w:val="00E12193"/>
    <w:rsid w:val="00E1605D"/>
    <w:rsid w:val="00E27185"/>
    <w:rsid w:val="00E35F3D"/>
    <w:rsid w:val="00E375FB"/>
    <w:rsid w:val="00E43573"/>
    <w:rsid w:val="00E46058"/>
    <w:rsid w:val="00E46B8F"/>
    <w:rsid w:val="00E512F0"/>
    <w:rsid w:val="00E53B1D"/>
    <w:rsid w:val="00E60721"/>
    <w:rsid w:val="00E61451"/>
    <w:rsid w:val="00EA490C"/>
    <w:rsid w:val="00EA6695"/>
    <w:rsid w:val="00EB37A3"/>
    <w:rsid w:val="00EB54FD"/>
    <w:rsid w:val="00EB5AA7"/>
    <w:rsid w:val="00ED097E"/>
    <w:rsid w:val="00ED4BCF"/>
    <w:rsid w:val="00EE0B5C"/>
    <w:rsid w:val="00EE1142"/>
    <w:rsid w:val="00EE1385"/>
    <w:rsid w:val="00F21CCF"/>
    <w:rsid w:val="00F30104"/>
    <w:rsid w:val="00F3428F"/>
    <w:rsid w:val="00F3455B"/>
    <w:rsid w:val="00F5279E"/>
    <w:rsid w:val="00F546EC"/>
    <w:rsid w:val="00F57120"/>
    <w:rsid w:val="00F7269F"/>
    <w:rsid w:val="00F753AF"/>
    <w:rsid w:val="00F75490"/>
    <w:rsid w:val="00F83259"/>
    <w:rsid w:val="00F91B1D"/>
    <w:rsid w:val="00FB108B"/>
    <w:rsid w:val="00FB4BE8"/>
    <w:rsid w:val="00FD76FC"/>
    <w:rsid w:val="00FE2503"/>
    <w:rsid w:val="00FE7DE4"/>
    <w:rsid w:val="00FF0BE9"/>
    <w:rsid w:val="00FF1589"/>
    <w:rsid w:val="00FF62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2F5D3E"/>
  <w15:docId w15:val="{EF08F707-4D44-4EEB-85F1-7FF5C9CD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105"/>
    <w:pPr>
      <w:spacing w:line="280" w:lineRule="exact"/>
    </w:pPr>
    <w:rPr>
      <w:rFonts w:ascii="Arial Narrow" w:eastAsia="Calibri" w:hAnsi="Arial Narrow" w:cs="Times New Roman"/>
    </w:rPr>
  </w:style>
  <w:style w:type="paragraph" w:styleId="Heading1">
    <w:name w:val="heading 1"/>
    <w:basedOn w:val="Normal"/>
    <w:next w:val="Normal"/>
    <w:link w:val="Heading1Char"/>
    <w:uiPriority w:val="9"/>
    <w:qFormat/>
    <w:rsid w:val="00733935"/>
    <w:pPr>
      <w:keepNext/>
      <w:keepLines/>
      <w:spacing w:before="480" w:after="0"/>
      <w:outlineLvl w:val="0"/>
    </w:pPr>
    <w:rPr>
      <w:rFonts w:asciiTheme="majorHAnsi" w:eastAsiaTheme="majorEastAsia" w:hAnsiTheme="majorHAnsi" w:cstheme="majorBidi"/>
      <w:b/>
      <w:bCs/>
      <w:color w:val="00264C" w:themeColor="accent1" w:themeShade="BF"/>
      <w:sz w:val="28"/>
      <w:szCs w:val="28"/>
    </w:rPr>
  </w:style>
  <w:style w:type="paragraph" w:styleId="Heading2">
    <w:name w:val="heading 2"/>
    <w:basedOn w:val="Normal"/>
    <w:next w:val="Normal"/>
    <w:link w:val="Heading2Char"/>
    <w:uiPriority w:val="9"/>
    <w:unhideWhenUsed/>
    <w:qFormat/>
    <w:rsid w:val="003D4105"/>
    <w:pPr>
      <w:keepNext/>
      <w:spacing w:before="240" w:after="60"/>
      <w:outlineLvl w:val="1"/>
    </w:pPr>
    <w:rPr>
      <w:rFonts w:eastAsia="Times New Roman"/>
      <w:b/>
      <w:bCs/>
      <w:i/>
      <w:iCs/>
      <w:color w:val="00B0F0"/>
      <w:sz w:val="28"/>
      <w:szCs w:val="28"/>
    </w:rPr>
  </w:style>
  <w:style w:type="paragraph" w:styleId="Heading3">
    <w:name w:val="heading 3"/>
    <w:basedOn w:val="Normal"/>
    <w:next w:val="Normal"/>
    <w:link w:val="Heading3Char"/>
    <w:uiPriority w:val="9"/>
    <w:unhideWhenUsed/>
    <w:qFormat/>
    <w:rsid w:val="003D4105"/>
    <w:pPr>
      <w:keepNext/>
      <w:spacing w:before="240" w:after="60"/>
      <w:outlineLvl w:val="2"/>
    </w:pPr>
    <w:rPr>
      <w:rFonts w:eastAsia="Times New Roman"/>
      <w:b/>
      <w:bCs/>
      <w:color w:val="17365D"/>
      <w:szCs w:val="26"/>
    </w:rPr>
  </w:style>
  <w:style w:type="paragraph" w:styleId="Heading4">
    <w:name w:val="heading 4"/>
    <w:basedOn w:val="Normal"/>
    <w:next w:val="Normal"/>
    <w:link w:val="Heading4Char"/>
    <w:uiPriority w:val="9"/>
    <w:unhideWhenUsed/>
    <w:qFormat/>
    <w:rsid w:val="003D4105"/>
    <w:pPr>
      <w:keepNext/>
      <w:spacing w:before="240" w:after="60"/>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105"/>
    <w:pPr>
      <w:tabs>
        <w:tab w:val="center" w:pos="4680"/>
        <w:tab w:val="right" w:pos="9360"/>
      </w:tabs>
      <w:spacing w:after="0"/>
    </w:pPr>
  </w:style>
  <w:style w:type="character" w:customStyle="1" w:styleId="HeaderChar">
    <w:name w:val="Header Char"/>
    <w:basedOn w:val="DefaultParagraphFont"/>
    <w:link w:val="Header"/>
    <w:uiPriority w:val="99"/>
    <w:rsid w:val="003D4105"/>
    <w:rPr>
      <w:rFonts w:ascii="Arial Narrow" w:hAnsi="Arial Narrow" w:cs="Times New Roman"/>
      <w:sz w:val="24"/>
      <w:szCs w:val="24"/>
    </w:rPr>
  </w:style>
  <w:style w:type="paragraph" w:styleId="Footer">
    <w:name w:val="footer"/>
    <w:basedOn w:val="Normal"/>
    <w:link w:val="FooterChar"/>
    <w:uiPriority w:val="99"/>
    <w:unhideWhenUsed/>
    <w:rsid w:val="003D4105"/>
    <w:pPr>
      <w:tabs>
        <w:tab w:val="center" w:pos="4680"/>
        <w:tab w:val="right" w:pos="9360"/>
      </w:tabs>
      <w:spacing w:after="0"/>
    </w:pPr>
  </w:style>
  <w:style w:type="character" w:customStyle="1" w:styleId="FooterChar">
    <w:name w:val="Footer Char"/>
    <w:basedOn w:val="DefaultParagraphFont"/>
    <w:link w:val="Footer"/>
    <w:uiPriority w:val="99"/>
    <w:rsid w:val="003D4105"/>
    <w:rPr>
      <w:rFonts w:ascii="Arial Narrow" w:hAnsi="Arial Narrow" w:cs="Times New Roman"/>
      <w:sz w:val="24"/>
      <w:szCs w:val="24"/>
    </w:rPr>
  </w:style>
  <w:style w:type="character" w:customStyle="1" w:styleId="Heading2Char">
    <w:name w:val="Heading 2 Char"/>
    <w:basedOn w:val="DefaultParagraphFont"/>
    <w:link w:val="Heading2"/>
    <w:uiPriority w:val="9"/>
    <w:rsid w:val="003D4105"/>
    <w:rPr>
      <w:rFonts w:ascii="Arial Narrow" w:hAnsi="Arial Narrow" w:cs="Times New Roman"/>
      <w:b/>
      <w:bCs/>
      <w:i/>
      <w:iCs/>
      <w:color w:val="00B0F0"/>
      <w:sz w:val="28"/>
      <w:szCs w:val="28"/>
    </w:rPr>
  </w:style>
  <w:style w:type="character" w:customStyle="1" w:styleId="Heading3Char">
    <w:name w:val="Heading 3 Char"/>
    <w:basedOn w:val="DefaultParagraphFont"/>
    <w:link w:val="Heading3"/>
    <w:uiPriority w:val="9"/>
    <w:rsid w:val="003D4105"/>
    <w:rPr>
      <w:rFonts w:ascii="Arial Narrow" w:hAnsi="Arial Narrow" w:cs="Times New Roman"/>
      <w:b/>
      <w:bCs/>
      <w:color w:val="17365D"/>
      <w:szCs w:val="26"/>
    </w:rPr>
  </w:style>
  <w:style w:type="character" w:customStyle="1" w:styleId="Heading4Char">
    <w:name w:val="Heading 4 Char"/>
    <w:basedOn w:val="DefaultParagraphFont"/>
    <w:link w:val="Heading4"/>
    <w:uiPriority w:val="9"/>
    <w:rsid w:val="003D4105"/>
    <w:rPr>
      <w:rFonts w:ascii="Arial Narrow" w:hAnsi="Arial Narrow" w:cs="Times New Roman"/>
      <w:b/>
      <w:bCs/>
      <w:szCs w:val="28"/>
    </w:rPr>
  </w:style>
  <w:style w:type="paragraph" w:customStyle="1" w:styleId="List-BulletsBOLD">
    <w:name w:val="List - Bullets BOLD"/>
    <w:basedOn w:val="ListParagraph"/>
    <w:next w:val="ListBullet"/>
    <w:qFormat/>
    <w:rsid w:val="003D4105"/>
    <w:pPr>
      <w:numPr>
        <w:numId w:val="1"/>
      </w:numPr>
      <w:tabs>
        <w:tab w:val="num" w:pos="360"/>
      </w:tabs>
      <w:ind w:firstLine="0"/>
      <w:contextualSpacing w:val="0"/>
    </w:pPr>
    <w:rPr>
      <w:b w:val="0"/>
      <w:lang w:val="en"/>
    </w:rPr>
  </w:style>
  <w:style w:type="paragraph" w:customStyle="1" w:styleId="List-Bullets">
    <w:name w:val="List - Bullets"/>
    <w:basedOn w:val="List-BulletsBOLD"/>
    <w:qFormat/>
    <w:rsid w:val="003D4105"/>
    <w:rPr>
      <w:b/>
    </w:rPr>
  </w:style>
  <w:style w:type="paragraph" w:styleId="Title">
    <w:name w:val="Title"/>
    <w:basedOn w:val="Normal"/>
    <w:next w:val="Normal"/>
    <w:link w:val="TitleChar"/>
    <w:qFormat/>
    <w:rsid w:val="003D4105"/>
    <w:pPr>
      <w:spacing w:before="240" w:after="240" w:line="420" w:lineRule="exact"/>
      <w:jc w:val="center"/>
      <w:outlineLvl w:val="0"/>
    </w:pPr>
    <w:rPr>
      <w:rFonts w:eastAsia="Times New Roman"/>
      <w:b/>
      <w:bCs/>
      <w:color w:val="F79646"/>
      <w:spacing w:val="2"/>
      <w:kern w:val="28"/>
      <w:sz w:val="52"/>
      <w:szCs w:val="32"/>
    </w:rPr>
  </w:style>
  <w:style w:type="character" w:customStyle="1" w:styleId="TitleChar">
    <w:name w:val="Title Char"/>
    <w:basedOn w:val="DefaultParagraphFont"/>
    <w:link w:val="Title"/>
    <w:rsid w:val="003D4105"/>
    <w:rPr>
      <w:rFonts w:ascii="Arial Narrow" w:hAnsi="Arial Narrow" w:cs="Times New Roman"/>
      <w:b/>
      <w:bCs/>
      <w:color w:val="F79646"/>
      <w:spacing w:val="2"/>
      <w:kern w:val="28"/>
      <w:sz w:val="52"/>
      <w:szCs w:val="32"/>
    </w:rPr>
  </w:style>
  <w:style w:type="character" w:styleId="Strong">
    <w:name w:val="Strong"/>
    <w:uiPriority w:val="22"/>
    <w:qFormat/>
    <w:rsid w:val="003D4105"/>
    <w:rPr>
      <w:rFonts w:ascii="Arial" w:hAnsi="Arial"/>
      <w:b/>
      <w:bCs/>
      <w:sz w:val="22"/>
    </w:rPr>
  </w:style>
  <w:style w:type="paragraph" w:customStyle="1" w:styleId="largenumber">
    <w:name w:val="large number"/>
    <w:basedOn w:val="Normal"/>
    <w:link w:val="largenumberChar"/>
    <w:qFormat/>
    <w:rsid w:val="003D4105"/>
    <w:pPr>
      <w:spacing w:before="120" w:after="0"/>
    </w:pPr>
    <w:rPr>
      <w:b/>
      <w:sz w:val="32"/>
    </w:rPr>
  </w:style>
  <w:style w:type="character" w:customStyle="1" w:styleId="largenumberChar">
    <w:name w:val="large number Char"/>
    <w:link w:val="largenumber"/>
    <w:rsid w:val="003D4105"/>
    <w:rPr>
      <w:rFonts w:ascii="Arial Narrow" w:eastAsia="Calibri" w:hAnsi="Arial Narrow" w:cs="Times New Roman"/>
      <w:b/>
      <w:sz w:val="32"/>
    </w:rPr>
  </w:style>
  <w:style w:type="paragraph" w:styleId="ListParagraph">
    <w:name w:val="List Paragraph"/>
    <w:basedOn w:val="Normal"/>
    <w:uiPriority w:val="34"/>
    <w:qFormat/>
    <w:rsid w:val="00733935"/>
    <w:pPr>
      <w:numPr>
        <w:numId w:val="6"/>
      </w:numPr>
      <w:contextualSpacing/>
    </w:pPr>
    <w:rPr>
      <w:rFonts w:ascii="Arial" w:hAnsi="Arial"/>
      <w:b/>
      <w:bCs/>
      <w:color w:val="808080" w:themeColor="background1" w:themeShade="80"/>
    </w:rPr>
  </w:style>
  <w:style w:type="paragraph" w:styleId="ListBullet">
    <w:name w:val="List Bullet"/>
    <w:basedOn w:val="Normal"/>
    <w:uiPriority w:val="99"/>
    <w:semiHidden/>
    <w:unhideWhenUsed/>
    <w:rsid w:val="003D4105"/>
    <w:pPr>
      <w:ind w:left="720" w:hanging="360"/>
      <w:contextualSpacing/>
    </w:pPr>
  </w:style>
  <w:style w:type="paragraph" w:customStyle="1" w:styleId="Level2Numbering">
    <w:name w:val="Level 2 Numbering"/>
    <w:basedOn w:val="Normal"/>
    <w:qFormat/>
    <w:rsid w:val="00733935"/>
    <w:pPr>
      <w:numPr>
        <w:numId w:val="21"/>
      </w:numPr>
      <w:spacing w:after="120" w:line="240" w:lineRule="auto"/>
    </w:pPr>
    <w:rPr>
      <w:szCs w:val="20"/>
    </w:rPr>
  </w:style>
  <w:style w:type="paragraph" w:customStyle="1" w:styleId="Level1Number">
    <w:name w:val="Level 1 Number"/>
    <w:basedOn w:val="Heading1"/>
    <w:link w:val="Level1NumberChar"/>
    <w:qFormat/>
    <w:rsid w:val="00733935"/>
    <w:pPr>
      <w:keepLines w:val="0"/>
      <w:numPr>
        <w:numId w:val="7"/>
      </w:numPr>
      <w:spacing w:before="240" w:after="120" w:line="240" w:lineRule="auto"/>
    </w:pPr>
    <w:rPr>
      <w:rFonts w:ascii="Arial Narrow" w:eastAsia="Times New Roman" w:hAnsi="Arial Narrow" w:cs="Times New Roman"/>
      <w:color w:val="808080"/>
      <w:spacing w:val="10"/>
      <w:kern w:val="32"/>
      <w:sz w:val="24"/>
      <w:szCs w:val="32"/>
    </w:rPr>
  </w:style>
  <w:style w:type="character" w:customStyle="1" w:styleId="Level1NumberChar">
    <w:name w:val="Level 1 Number Char"/>
    <w:link w:val="Level1Number"/>
    <w:rsid w:val="00733935"/>
    <w:rPr>
      <w:rFonts w:ascii="Arial Narrow" w:hAnsi="Arial Narrow" w:cs="Times New Roman"/>
      <w:b/>
      <w:bCs/>
      <w:color w:val="808080"/>
      <w:spacing w:val="10"/>
      <w:kern w:val="32"/>
      <w:sz w:val="24"/>
      <w:szCs w:val="32"/>
    </w:rPr>
  </w:style>
  <w:style w:type="character" w:customStyle="1" w:styleId="Heading1Char">
    <w:name w:val="Heading 1 Char"/>
    <w:basedOn w:val="DefaultParagraphFont"/>
    <w:link w:val="Heading1"/>
    <w:uiPriority w:val="9"/>
    <w:rsid w:val="00733935"/>
    <w:rPr>
      <w:rFonts w:asciiTheme="majorHAnsi" w:eastAsiaTheme="majorEastAsia" w:hAnsiTheme="majorHAnsi" w:cstheme="majorBidi"/>
      <w:b/>
      <w:bCs/>
      <w:color w:val="00264C" w:themeColor="accent1" w:themeShade="BF"/>
      <w:sz w:val="28"/>
      <w:szCs w:val="28"/>
    </w:rPr>
  </w:style>
  <w:style w:type="character" w:styleId="Hyperlink">
    <w:name w:val="Hyperlink"/>
    <w:uiPriority w:val="99"/>
    <w:unhideWhenUsed/>
    <w:rsid w:val="00733935"/>
    <w:rPr>
      <w:color w:val="0000FF"/>
      <w:u w:val="single"/>
    </w:rPr>
  </w:style>
  <w:style w:type="paragraph" w:styleId="BalloonText">
    <w:name w:val="Balloon Text"/>
    <w:basedOn w:val="Normal"/>
    <w:link w:val="BalloonTextChar"/>
    <w:uiPriority w:val="99"/>
    <w:semiHidden/>
    <w:unhideWhenUsed/>
    <w:rsid w:val="008B0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76D"/>
    <w:rPr>
      <w:rFonts w:ascii="Tahoma" w:eastAsia="Calibri" w:hAnsi="Tahoma" w:cs="Tahoma"/>
      <w:sz w:val="16"/>
      <w:szCs w:val="16"/>
    </w:rPr>
  </w:style>
  <w:style w:type="paragraph" w:customStyle="1" w:styleId="DisclaimerHeading">
    <w:name w:val="Disclaimer Heading"/>
    <w:basedOn w:val="Normal"/>
    <w:link w:val="DisclaimerHeadingChar"/>
    <w:qFormat/>
    <w:rsid w:val="00D311B2"/>
    <w:pPr>
      <w:spacing w:after="0" w:line="240" w:lineRule="auto"/>
    </w:pPr>
    <w:rPr>
      <w:rFonts w:eastAsia="Times New Roman"/>
      <w:b/>
      <w:color w:val="013C59"/>
      <w:sz w:val="16"/>
      <w:szCs w:val="16"/>
    </w:rPr>
  </w:style>
  <w:style w:type="character" w:customStyle="1" w:styleId="DisclaimerHeadingChar">
    <w:name w:val="Disclaimer Heading Char"/>
    <w:basedOn w:val="DefaultParagraphFont"/>
    <w:link w:val="DisclaimerHeading"/>
    <w:rsid w:val="00D311B2"/>
    <w:rPr>
      <w:rFonts w:ascii="Arial Narrow" w:hAnsi="Arial Narrow" w:cs="Times New Roman"/>
      <w:b/>
      <w:color w:val="013C59"/>
      <w:sz w:val="16"/>
      <w:szCs w:val="16"/>
    </w:rPr>
  </w:style>
  <w:style w:type="table" w:styleId="GridTable3Accent5">
    <w:name w:val="Grid Table 3 Accent 5"/>
    <w:basedOn w:val="TableNormal"/>
    <w:uiPriority w:val="48"/>
    <w:rsid w:val="00D311B2"/>
    <w:pPr>
      <w:spacing w:after="0" w:line="240" w:lineRule="auto"/>
    </w:pPr>
    <w:rPr>
      <w:rFonts w:eastAsiaTheme="minorHAnsi"/>
    </w:r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
    <w:name w:val="table heading"/>
    <w:basedOn w:val="Normal"/>
    <w:link w:val="tableheadingChar"/>
    <w:qFormat/>
    <w:rsid w:val="00D311B2"/>
    <w:pPr>
      <w:spacing w:after="0" w:line="240" w:lineRule="auto"/>
    </w:pPr>
    <w:rPr>
      <w:rFonts w:eastAsia="Times New Roman"/>
      <w:b/>
      <w:color w:val="FFFFFF" w:themeColor="background1"/>
      <w:szCs w:val="20"/>
    </w:rPr>
  </w:style>
  <w:style w:type="character" w:customStyle="1" w:styleId="tableheadingChar">
    <w:name w:val="table heading Char"/>
    <w:basedOn w:val="DefaultParagraphFont"/>
    <w:link w:val="tableheading"/>
    <w:rsid w:val="00D311B2"/>
    <w:rPr>
      <w:rFonts w:ascii="Arial Narrow" w:hAnsi="Arial Narrow" w:cs="Times New Roman"/>
      <w:b/>
      <w:color w:val="FFFFFF" w:themeColor="background1"/>
      <w:szCs w:val="20"/>
    </w:rPr>
  </w:style>
  <w:style w:type="paragraph" w:customStyle="1" w:styleId="DisclosureTitle">
    <w:name w:val="Disclosure Title"/>
    <w:basedOn w:val="Normal"/>
    <w:link w:val="DisclosureTitleChar"/>
    <w:rsid w:val="00D311B2"/>
    <w:pPr>
      <w:spacing w:after="0" w:line="240" w:lineRule="auto"/>
    </w:pPr>
    <w:rPr>
      <w:rFonts w:eastAsia="Times New Roman"/>
      <w:b/>
      <w:color w:val="013C59"/>
      <w:sz w:val="16"/>
      <w:szCs w:val="16"/>
    </w:rPr>
  </w:style>
  <w:style w:type="paragraph" w:customStyle="1" w:styleId="DisclosureBody">
    <w:name w:val="Disclosure Body"/>
    <w:basedOn w:val="Normal"/>
    <w:link w:val="DisclosureBodyChar"/>
    <w:rsid w:val="00D311B2"/>
    <w:pPr>
      <w:spacing w:after="0" w:line="240" w:lineRule="auto"/>
    </w:pPr>
    <w:rPr>
      <w:rFonts w:eastAsia="Times New Roman"/>
      <w:sz w:val="16"/>
      <w:szCs w:val="16"/>
    </w:rPr>
  </w:style>
  <w:style w:type="paragraph" w:customStyle="1" w:styleId="Author">
    <w:name w:val="Author"/>
    <w:basedOn w:val="Normal"/>
    <w:rsid w:val="00D311B2"/>
    <w:pPr>
      <w:tabs>
        <w:tab w:val="left" w:pos="2160"/>
      </w:tabs>
      <w:spacing w:after="0" w:line="240" w:lineRule="auto"/>
    </w:pPr>
    <w:rPr>
      <w:rFonts w:eastAsia="Times New Roman"/>
      <w:sz w:val="16"/>
      <w:szCs w:val="16"/>
    </w:rPr>
  </w:style>
  <w:style w:type="paragraph" w:customStyle="1" w:styleId="ListSubhead1">
    <w:name w:val="List Subhead 1"/>
    <w:rsid w:val="00D311B2"/>
    <w:pPr>
      <w:numPr>
        <w:numId w:val="10"/>
      </w:numPr>
      <w:tabs>
        <w:tab w:val="left" w:pos="0"/>
      </w:tabs>
      <w:spacing w:line="240" w:lineRule="auto"/>
    </w:pPr>
    <w:rPr>
      <w:rFonts w:ascii="Arial Narrow" w:hAnsi="Arial Narrow" w:cs="Times New Roman"/>
      <w:b/>
      <w:sz w:val="24"/>
    </w:rPr>
  </w:style>
  <w:style w:type="character" w:customStyle="1" w:styleId="DisclosureTitleChar">
    <w:name w:val="Disclosure Title Char"/>
    <w:basedOn w:val="DefaultParagraphFont"/>
    <w:link w:val="DisclosureTitle"/>
    <w:rsid w:val="00D311B2"/>
    <w:rPr>
      <w:rFonts w:ascii="Arial Narrow" w:hAnsi="Arial Narrow" w:cs="Times New Roman"/>
      <w:b/>
      <w:color w:val="013C59"/>
      <w:sz w:val="16"/>
      <w:szCs w:val="16"/>
    </w:rPr>
  </w:style>
  <w:style w:type="paragraph" w:customStyle="1" w:styleId="DisclaimerBodyCopy">
    <w:name w:val="Disclaimer Body Copy"/>
    <w:basedOn w:val="DisclosureBody"/>
    <w:link w:val="DisclaimerBodyCopyChar"/>
    <w:qFormat/>
    <w:rsid w:val="00D311B2"/>
  </w:style>
  <w:style w:type="character" w:customStyle="1" w:styleId="DisclosureBodyChar">
    <w:name w:val="Disclosure Body Char"/>
    <w:basedOn w:val="DefaultParagraphFont"/>
    <w:link w:val="DisclosureBody"/>
    <w:rsid w:val="00D311B2"/>
    <w:rPr>
      <w:rFonts w:ascii="Arial Narrow" w:hAnsi="Arial Narrow" w:cs="Times New Roman"/>
      <w:sz w:val="16"/>
      <w:szCs w:val="16"/>
    </w:rPr>
  </w:style>
  <w:style w:type="character" w:customStyle="1" w:styleId="DisclaimerBodyCopyChar">
    <w:name w:val="Disclaimer Body Copy Char"/>
    <w:basedOn w:val="DisclosureBodyChar"/>
    <w:link w:val="DisclaimerBodyCopy"/>
    <w:rsid w:val="00D311B2"/>
    <w:rPr>
      <w:rFonts w:ascii="Arial Narrow" w:hAnsi="Arial Narrow" w:cs="Times New Roman"/>
      <w:sz w:val="16"/>
      <w:szCs w:val="16"/>
    </w:rPr>
  </w:style>
  <w:style w:type="character" w:styleId="CommentReference">
    <w:name w:val="annotation reference"/>
    <w:basedOn w:val="DefaultParagraphFont"/>
    <w:uiPriority w:val="99"/>
    <w:semiHidden/>
    <w:unhideWhenUsed/>
    <w:rsid w:val="004D0428"/>
    <w:rPr>
      <w:sz w:val="16"/>
      <w:szCs w:val="16"/>
    </w:rPr>
  </w:style>
  <w:style w:type="paragraph" w:styleId="CommentText">
    <w:name w:val="annotation text"/>
    <w:basedOn w:val="Normal"/>
    <w:link w:val="CommentTextChar"/>
    <w:uiPriority w:val="99"/>
    <w:unhideWhenUsed/>
    <w:rsid w:val="004D0428"/>
    <w:pPr>
      <w:spacing w:line="240" w:lineRule="auto"/>
    </w:pPr>
    <w:rPr>
      <w:sz w:val="20"/>
      <w:szCs w:val="20"/>
    </w:rPr>
  </w:style>
  <w:style w:type="character" w:customStyle="1" w:styleId="CommentTextChar">
    <w:name w:val="Comment Text Char"/>
    <w:basedOn w:val="DefaultParagraphFont"/>
    <w:link w:val="CommentText"/>
    <w:uiPriority w:val="99"/>
    <w:rsid w:val="004D0428"/>
    <w:rPr>
      <w:rFonts w:ascii="Arial Narrow" w:eastAsia="Calibri"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4D0428"/>
    <w:rPr>
      <w:b/>
      <w:bCs/>
    </w:rPr>
  </w:style>
  <w:style w:type="character" w:customStyle="1" w:styleId="CommentSubjectChar">
    <w:name w:val="Comment Subject Char"/>
    <w:basedOn w:val="CommentTextChar"/>
    <w:link w:val="CommentSubject"/>
    <w:uiPriority w:val="99"/>
    <w:semiHidden/>
    <w:rsid w:val="004D0428"/>
    <w:rPr>
      <w:rFonts w:ascii="Arial Narrow" w:eastAsia="Calibri" w:hAnsi="Arial Narrow" w:cs="Times New Roman"/>
      <w:b/>
      <w:bCs/>
      <w:sz w:val="20"/>
      <w:szCs w:val="20"/>
    </w:rPr>
  </w:style>
  <w:style w:type="paragraph" w:customStyle="1" w:styleId="PrimaryHeading">
    <w:name w:val="Primary Heading"/>
    <w:basedOn w:val="Normal"/>
    <w:qFormat/>
    <w:rsid w:val="005C7241"/>
    <w:pPr>
      <w:keepNext/>
      <w:shd w:val="clear" w:color="auto" w:fill="00B0F0" w:themeFill="accent3"/>
      <w:spacing w:after="120" w:line="276" w:lineRule="auto"/>
      <w:outlineLvl w:val="0"/>
    </w:pPr>
    <w:rPr>
      <w:rFonts w:eastAsiaTheme="minorHAnsi" w:cstheme="minorBidi"/>
      <w:b/>
      <w:color w:val="FFFFFF" w:themeColor="background1"/>
      <w:kern w:val="28"/>
    </w:rPr>
  </w:style>
  <w:style w:type="paragraph" w:customStyle="1" w:styleId="AttendeesList">
    <w:name w:val="Attendees List"/>
    <w:link w:val="AttendeesListChar"/>
    <w:rsid w:val="005C7241"/>
    <w:rPr>
      <w:rFonts w:ascii="Arial Narrow" w:hAnsi="Arial Narrow" w:cs="Times New Roman"/>
      <w:sz w:val="18"/>
      <w:szCs w:val="16"/>
    </w:rPr>
  </w:style>
  <w:style w:type="character" w:customStyle="1" w:styleId="AttendeesListChar">
    <w:name w:val="Attendees List Char"/>
    <w:basedOn w:val="DefaultParagraphFont"/>
    <w:link w:val="AttendeesList"/>
    <w:rsid w:val="005C7241"/>
    <w:rPr>
      <w:rFonts w:ascii="Arial Narrow" w:hAnsi="Arial Narrow" w:cs="Times New Roman"/>
      <w:sz w:val="18"/>
      <w:szCs w:val="16"/>
    </w:rPr>
  </w:style>
  <w:style w:type="paragraph" w:styleId="Revision">
    <w:name w:val="Revision"/>
    <w:hidden/>
    <w:uiPriority w:val="99"/>
    <w:semiHidden/>
    <w:rsid w:val="00C945D2"/>
    <w:pPr>
      <w:spacing w:after="0" w:line="240" w:lineRule="auto"/>
    </w:pPr>
    <w:rPr>
      <w:rFonts w:ascii="Arial Narrow" w:eastAsia="Calibri" w:hAnsi="Arial Narrow" w:cs="Times New Roman"/>
    </w:rPr>
  </w:style>
  <w:style w:type="paragraph" w:styleId="NormalWeb">
    <w:name w:val="Normal (Web)"/>
    <w:basedOn w:val="Normal"/>
    <w:uiPriority w:val="99"/>
    <w:semiHidden/>
    <w:unhideWhenUsed/>
    <w:rsid w:val="009E3888"/>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346F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jpeg" /><Relationship Id="rId12" Type="http://schemas.openxmlformats.org/officeDocument/2006/relationships/image" Target="media/image6.png" /><Relationship Id="rId13" Type="http://schemas.openxmlformats.org/officeDocument/2006/relationships/image" Target="media/image7.jpe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image" Target="media/image3.jpeg" /></Relationships>
</file>

<file path=word/_rels/footer1.xml.rels><?xml version="1.0" encoding="utf-8" standalone="yes"?><Relationships xmlns="http://schemas.openxmlformats.org/package/2006/relationships"><Relationship Id="rId1" Type="http://schemas.openxmlformats.org/officeDocument/2006/relationships/image" Target="media/image9.png" /></Relationships>
</file>

<file path=word/_rels/header1.xml.rels><?xml version="1.0" encoding="utf-8" standalone="yes"?><Relationships xmlns="http://schemas.openxmlformats.org/package/2006/relationships"><Relationship Id="rId1" Type="http://schemas.openxmlformats.org/officeDocument/2006/relationships/image" Target="media/image8.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6BB2E-8DAB-4E67-8A37-8D6DF2CF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