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66B0D42F" w14:textId="26D66205">
      <w:pPr>
        <w:pStyle w:val="PostingDate"/>
        <w:rPr>
          <w:sz w:val="16"/>
        </w:rPr>
      </w:pPr>
      <w:r>
        <w:t xml:space="preserve">As of </w:t>
      </w:r>
      <w:r w:rsidR="006B6093">
        <w:t>August 19</w:t>
      </w:r>
      <w:r>
        <w:t>, 202</w:t>
      </w:r>
      <w:r w:rsidR="009B2B7E">
        <w:t>5</w:t>
      </w:r>
      <w:r>
        <w:t xml:space="preserve">  </w:t>
      </w:r>
    </w:p>
    <w:p w:rsidR="00C843A9" w:rsidP="00C843A9" w14:paraId="28C8FB59" w14:textId="77777777">
      <w:pPr>
        <w:pStyle w:val="MeetingDetails"/>
      </w:pPr>
      <w:r w:rsidRPr="002E16A0">
        <w:t>Market Implementation Committee</w:t>
      </w:r>
      <w:r>
        <w:t xml:space="preserve"> - Special Session</w:t>
      </w:r>
    </w:p>
    <w:p w:rsidR="00C843A9" w:rsidP="00C843A9" w14:paraId="415F4ADE" w14:textId="77777777">
      <w:pPr>
        <w:pStyle w:val="MeetingDetails"/>
      </w:pPr>
      <w:r>
        <w:t>Quadrennial Review</w:t>
      </w:r>
    </w:p>
    <w:p w:rsidR="00C843A9" w:rsidRPr="00B62597" w:rsidP="00C843A9" w14:paraId="7FC7EFB3" w14:textId="77777777">
      <w:pPr>
        <w:pStyle w:val="MeetingDetails"/>
      </w:pPr>
      <w:r>
        <w:t xml:space="preserve">Webex </w:t>
      </w:r>
    </w:p>
    <w:p w:rsidR="00C843A9" w:rsidRPr="002E16A0" w:rsidP="00C843A9" w14:paraId="3443AA0D" w14:textId="272EDD28">
      <w:pPr>
        <w:pStyle w:val="MeetingDetails"/>
      </w:pPr>
      <w:r>
        <w:t>August 22</w:t>
      </w:r>
      <w:r>
        <w:t>, 2025</w:t>
      </w:r>
    </w:p>
    <w:p w:rsidR="00C843A9" w:rsidRPr="00A3732B" w:rsidP="00C843A9" w14:paraId="22DF90A9" w14:textId="78531AD6">
      <w:pPr>
        <w:pStyle w:val="MeetingDetails"/>
      </w:pPr>
      <w:r>
        <w:t>1:00</w:t>
      </w:r>
      <w:r w:rsidRPr="002E16A0">
        <w:t xml:space="preserve"> </w:t>
      </w:r>
      <w:r>
        <w:t>p</w:t>
      </w:r>
      <w:r w:rsidRPr="002E16A0">
        <w:t>.m</w:t>
      </w:r>
      <w:r w:rsidRPr="00F415AE">
        <w:t xml:space="preserve">. – </w:t>
      </w:r>
      <w:r>
        <w:t>4</w:t>
      </w:r>
      <w:r w:rsidRPr="00F415AE">
        <w:t>:</w:t>
      </w:r>
      <w:r>
        <w:t>00</w:t>
      </w:r>
      <w:r w:rsidRPr="00F415AE">
        <w:t xml:space="preserve"> </w:t>
      </w:r>
      <w:r>
        <w:t xml:space="preserve">p.m. </w:t>
      </w:r>
      <w:r w:rsidRPr="00A3732B">
        <w:t>EPT</w:t>
      </w:r>
    </w:p>
    <w:p w:rsidR="00B62597" w:rsidRPr="00B62597" w:rsidP="00B62597" w14:paraId="75BD785C" w14:textId="77777777">
      <w:pPr>
        <w:spacing w:after="0" w:line="240" w:lineRule="auto"/>
        <w:rPr>
          <w:rFonts w:ascii="Arial Narrow" w:eastAsia="Times New Roman" w:hAnsi="Arial Narrow" w:cs="Times New Roman"/>
          <w:sz w:val="24"/>
          <w:szCs w:val="20"/>
        </w:rPr>
      </w:pPr>
    </w:p>
    <w:p w:rsidR="00B62597" w:rsidRPr="00B62597" w:rsidP="007C2954" w14:paraId="00BF60E1" w14:textId="3F5A2CEB">
      <w:pPr>
        <w:pStyle w:val="PrimaryHeading"/>
        <w:rPr>
          <w:caps/>
        </w:rPr>
      </w:pPr>
      <w:bookmarkStart w:id="0" w:name="OLE_LINK5"/>
      <w:bookmarkStart w:id="1" w:name="OLE_LINK3"/>
      <w:r w:rsidRPr="00527104">
        <w:t>Adm</w:t>
      </w:r>
      <w:r w:rsidRPr="007C2954">
        <w:t>inistrati</w:t>
      </w:r>
      <w:r w:rsidRPr="00527104">
        <w:t>on (</w:t>
      </w:r>
      <w:r w:rsidR="00BC057C">
        <w:t>1</w:t>
      </w:r>
      <w:r w:rsidRPr="00527104">
        <w:t>:00-</w:t>
      </w:r>
      <w:r w:rsidR="00BC057C">
        <w:t>1</w:t>
      </w:r>
      <w:r w:rsidRPr="00527104">
        <w:t>:</w:t>
      </w:r>
      <w:r w:rsidRPr="00527104">
        <w:t>0</w:t>
      </w:r>
      <w:r w:rsidR="00C843A9">
        <w:t>5</w:t>
      </w:r>
      <w:r w:rsidRPr="00527104">
        <w:t>)</w:t>
      </w:r>
    </w:p>
    <w:bookmarkEnd w:id="0"/>
    <w:bookmarkEnd w:id="1"/>
    <w:p w:rsidR="00C843A9" w:rsidRPr="00C843A9" w:rsidP="00C843A9" w14:paraId="48F44A2A" w14:textId="77777777">
      <w:pPr>
        <w:pStyle w:val="ListSubhead1"/>
        <w:rPr>
          <w:b w:val="0"/>
          <w:bCs/>
        </w:rPr>
      </w:pPr>
      <w:r w:rsidRPr="00C843A9">
        <w:rPr>
          <w:b w:val="0"/>
          <w:bCs/>
        </w:rPr>
        <w:t>Medha Pai, PJM, will review the Antitrust, Code of Conduct, Public Meetings/Media Participation and the Webex Participant Identification Requirements.</w:t>
      </w:r>
    </w:p>
    <w:p w:rsidR="00C843A9" w:rsidP="00C843A9" w14:paraId="5ECE1076" w14:textId="7F94528C">
      <w:pPr>
        <w:pStyle w:val="ListSubhead1"/>
      </w:pPr>
      <w:r w:rsidRPr="00C843A9">
        <w:rPr>
          <w:b w:val="0"/>
          <w:bCs/>
        </w:rPr>
        <w:t xml:space="preserve">Attendees will be asked to approve the draft minutes from the </w:t>
      </w:r>
      <w:r w:rsidR="006B6093">
        <w:rPr>
          <w:b w:val="0"/>
          <w:bCs/>
        </w:rPr>
        <w:t>July 21</w:t>
      </w:r>
      <w:r w:rsidRPr="00C843A9">
        <w:rPr>
          <w:b w:val="0"/>
          <w:bCs/>
        </w:rPr>
        <w:t xml:space="preserve">, </w:t>
      </w:r>
      <w:r w:rsidRPr="00C843A9">
        <w:rPr>
          <w:b w:val="0"/>
          <w:bCs/>
        </w:rPr>
        <w:t>2025</w:t>
      </w:r>
      <w:r w:rsidRPr="00C843A9">
        <w:rPr>
          <w:b w:val="0"/>
          <w:bCs/>
        </w:rPr>
        <w:t xml:space="preserve"> meeting</w:t>
      </w:r>
      <w:r>
        <w:t>.</w:t>
      </w:r>
    </w:p>
    <w:p w:rsidR="006B6093" w:rsidP="006B6093" w14:paraId="3FAC4C00" w14:textId="5D175B5A">
      <w:pPr>
        <w:pStyle w:val="PrimaryHeading"/>
      </w:pPr>
      <w:r>
        <w:t>Informational Items</w:t>
      </w:r>
      <w:r w:rsidRPr="001A3F77">
        <w:t xml:space="preserve"> (</w:t>
      </w:r>
      <w:r>
        <w:t>1:05</w:t>
      </w:r>
      <w:r w:rsidRPr="001A3F77">
        <w:t>-</w:t>
      </w:r>
      <w:r>
        <w:t>2:00</w:t>
      </w:r>
      <w:r w:rsidRPr="001A3F77">
        <w:t>)</w:t>
      </w:r>
    </w:p>
    <w:p w:rsidR="006B6093" w:rsidRPr="006B6093" w:rsidP="00C843A9" w14:paraId="7514F29C" w14:textId="7242EB03">
      <w:pPr>
        <w:pStyle w:val="ListSubhead1"/>
      </w:pPr>
      <w:r>
        <w:rPr>
          <w:b w:val="0"/>
          <w:bCs/>
        </w:rPr>
        <w:t>Sam Newell, The Brattle Group, will provide an update to the Gross CONE values.</w:t>
      </w:r>
    </w:p>
    <w:p w:rsidR="006B6093" w:rsidRPr="00F63575" w:rsidP="00C843A9" w14:paraId="605B8179" w14:textId="66A7FF30">
      <w:pPr>
        <w:pStyle w:val="ListSubhead1"/>
      </w:pPr>
      <w:r>
        <w:rPr>
          <w:b w:val="0"/>
          <w:bCs/>
        </w:rPr>
        <w:t>Skyler Marzewski, PJM, will provide an update for CONE, operating parameters for Net EAS, and Net CONE values.</w:t>
      </w:r>
    </w:p>
    <w:p w:rsidR="001D3B68" w:rsidP="007C2954" w14:paraId="225A770E" w14:textId="6E4D11D8">
      <w:pPr>
        <w:pStyle w:val="PrimaryHeading"/>
      </w:pPr>
      <w:r w:rsidRPr="001A3F77">
        <w:t xml:space="preserve">CBIR Process </w:t>
      </w:r>
      <w:r w:rsidRPr="001A3F77">
        <w:t>(</w:t>
      </w:r>
      <w:r w:rsidR="006B6093">
        <w:t>2:00</w:t>
      </w:r>
      <w:r w:rsidRPr="001A3F77">
        <w:t>-</w:t>
      </w:r>
      <w:r w:rsidR="006B6093">
        <w:t>4</w:t>
      </w:r>
      <w:r w:rsidRPr="001A3F77">
        <w:t>:00)</w:t>
      </w:r>
    </w:p>
    <w:p w:rsidR="009547D7" w:rsidRPr="002B68F9" w:rsidP="009547D7" w14:paraId="0396150E" w14:textId="55F5B206">
      <w:pPr>
        <w:pStyle w:val="ListSubhead1"/>
        <w:rPr>
          <w:b w:val="0"/>
          <w:bCs/>
          <w:u w:val="single"/>
        </w:rPr>
      </w:pPr>
      <w:r w:rsidRPr="002B68F9">
        <w:rPr>
          <w:b w:val="0"/>
          <w:bCs/>
          <w:u w:val="single"/>
        </w:rPr>
        <w:t>Quadrennial Review Matrix</w:t>
      </w:r>
    </w:p>
    <w:p w:rsidR="009547D7" w:rsidP="002B68F9" w14:paraId="2FB259B5" w14:textId="0A1E95BD">
      <w:pPr>
        <w:pStyle w:val="ListSubhead1"/>
        <w:numPr>
          <w:ilvl w:val="1"/>
          <w:numId w:val="11"/>
        </w:numPr>
        <w:spacing w:after="120"/>
        <w:rPr>
          <w:b w:val="0"/>
          <w:bCs/>
        </w:rPr>
      </w:pPr>
      <w:r w:rsidRPr="001A3F77">
        <w:rPr>
          <w:b w:val="0"/>
          <w:bCs/>
        </w:rPr>
        <w:t xml:space="preserve">Skyler Marzewski, PJM, will review </w:t>
      </w:r>
      <w:r>
        <w:rPr>
          <w:b w:val="0"/>
          <w:bCs/>
        </w:rPr>
        <w:t xml:space="preserve">updates to </w:t>
      </w:r>
      <w:r w:rsidR="006B6093">
        <w:rPr>
          <w:b w:val="0"/>
          <w:bCs/>
        </w:rPr>
        <w:t xml:space="preserve">the Joint </w:t>
      </w:r>
      <w:r>
        <w:rPr>
          <w:b w:val="0"/>
          <w:bCs/>
        </w:rPr>
        <w:t>PJM</w:t>
      </w:r>
      <w:r w:rsidR="006B6093">
        <w:rPr>
          <w:b w:val="0"/>
          <w:bCs/>
        </w:rPr>
        <w:t xml:space="preserve"> &amp;</w:t>
      </w:r>
      <w:r w:rsidR="00BC057C">
        <w:rPr>
          <w:b w:val="0"/>
          <w:bCs/>
        </w:rPr>
        <w:t xml:space="preserve"> </w:t>
      </w:r>
      <w:r w:rsidR="006B6093">
        <w:rPr>
          <w:b w:val="0"/>
          <w:bCs/>
        </w:rPr>
        <w:t>(VC Barrow) PA PUC</w:t>
      </w:r>
      <w:r>
        <w:rPr>
          <w:b w:val="0"/>
          <w:bCs/>
        </w:rPr>
        <w:t xml:space="preserve"> proposal</w:t>
      </w:r>
      <w:r w:rsidR="006B6093">
        <w:rPr>
          <w:b w:val="0"/>
          <w:bCs/>
        </w:rPr>
        <w:t>s</w:t>
      </w:r>
      <w:r w:rsidRPr="001A3F77">
        <w:rPr>
          <w:b w:val="0"/>
          <w:bCs/>
        </w:rPr>
        <w:t>.</w:t>
      </w:r>
    </w:p>
    <w:p w:rsidR="00BC057C" w:rsidRPr="002B68F9" w:rsidP="002B68F9" w14:paraId="4017DC49" w14:textId="085A8575">
      <w:pPr>
        <w:pStyle w:val="ListSubhead1"/>
        <w:numPr>
          <w:ilvl w:val="1"/>
          <w:numId w:val="11"/>
        </w:numPr>
        <w:spacing w:after="120"/>
        <w:rPr>
          <w:b w:val="0"/>
          <w:bCs/>
        </w:rPr>
      </w:pPr>
      <w:r>
        <w:rPr>
          <w:b w:val="0"/>
          <w:bCs/>
        </w:rPr>
        <w:t>Keri Dorko, Monitoring Analytics will review IMM proposal.</w:t>
      </w:r>
    </w:p>
    <w:p w:rsidR="001B2242" w:rsidP="002B68F9" w14:paraId="68284141" w14:textId="77777777">
      <w:pPr>
        <w:pStyle w:val="ListParagraph"/>
        <w:numPr>
          <w:ilvl w:val="1"/>
          <w:numId w:val="11"/>
        </w:numPr>
        <w:spacing w:after="120" w:line="240" w:lineRule="auto"/>
        <w:contextualSpacing w:val="0"/>
        <w:rPr>
          <w:rFonts w:ascii="Arial Narrow" w:eastAsia="Times New Roman" w:hAnsi="Arial Narrow" w:cs="Times New Roman"/>
          <w:bCs/>
          <w:sz w:val="24"/>
        </w:rPr>
      </w:pPr>
      <w:r w:rsidRPr="002B68F9">
        <w:rPr>
          <w:rFonts w:ascii="Arial Narrow" w:eastAsia="Times New Roman" w:hAnsi="Arial Narrow" w:cs="Times New Roman"/>
          <w:bCs/>
          <w:sz w:val="24"/>
        </w:rPr>
        <w:t>Dave Anders, PJM, will facilitate a discussion to review Quadrennial Review packages in the matrix as part of the Consensus Based Issue Resolution Process.</w:t>
      </w:r>
    </w:p>
    <w:p w:rsidR="006B6093" w:rsidRPr="006B6093" w:rsidP="006B6093" w14:paraId="548B1BF2" w14:textId="5B722045">
      <w:pPr>
        <w:pStyle w:val="PrimaryHeading"/>
      </w:pPr>
      <w:r>
        <w:t>Informational Postings</w:t>
      </w:r>
    </w:p>
    <w:p w:rsidR="006B6093" w:rsidP="001A3F77" w14:paraId="5EA5F32E" w14:textId="3EA85D92">
      <w:pPr>
        <w:pStyle w:val="ListSubhead1"/>
        <w:numPr>
          <w:ilvl w:val="0"/>
          <w:numId w:val="0"/>
        </w:numPr>
        <w:rPr>
          <w:b w:val="0"/>
        </w:rPr>
      </w:pPr>
      <w:r w:rsidRPr="006B6093">
        <w:rPr>
          <w:b w:val="0"/>
          <w:u w:val="single"/>
        </w:rPr>
        <w:t>Brattle Posting</w:t>
      </w:r>
      <w:r>
        <w:rPr>
          <w:b w:val="0"/>
          <w:u w:val="single"/>
        </w:rPr>
        <w:t>:</w:t>
      </w:r>
      <w:r w:rsidRPr="006B6093">
        <w:rPr>
          <w:b w:val="0"/>
        </w:rPr>
        <w:t xml:space="preserve"> </w:t>
      </w:r>
      <w:r>
        <w:rPr>
          <w:b w:val="0"/>
        </w:rPr>
        <w:t>Brattle VRR Modeling Results for the proposed IMM VRR Curve Shape</w:t>
      </w:r>
    </w:p>
    <w:p w:rsidR="006B6093" w:rsidP="001A3F77" w14:paraId="563BF750" w14:textId="1C75A14B">
      <w:pPr>
        <w:pStyle w:val="ListSubhead1"/>
        <w:numPr>
          <w:ilvl w:val="0"/>
          <w:numId w:val="0"/>
        </w:numPr>
        <w:rPr>
          <w:b w:val="0"/>
        </w:rPr>
      </w:pPr>
      <w:r w:rsidRPr="006B6093">
        <w:rPr>
          <w:b w:val="0"/>
          <w:u w:val="single"/>
        </w:rPr>
        <w:t>PJM Posting:</w:t>
      </w:r>
      <w:r>
        <w:rPr>
          <w:b w:val="0"/>
        </w:rPr>
        <w:t xml:space="preserve"> VRR Analysis Comparison for all current proposed VRR curves and the calculated metrics for each curve.</w:t>
      </w:r>
    </w:p>
    <w:p w:rsidR="006B6093" w:rsidRPr="002B68F9" w:rsidP="001A3F77" w14:paraId="550AC284" w14:textId="77777777">
      <w:pPr>
        <w:pStyle w:val="ListSubhead1"/>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7EE03C6A"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4DF2D9AE"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895C08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408C0F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8EF51E5"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B7AA989"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BC6F6DD"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0AF94D23"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1910EAD2"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90D291F" w14:textId="77777777">
            <w:pPr>
              <w:pStyle w:val="DisclaimerHeading"/>
              <w:keepLines/>
              <w:jc w:val="center"/>
              <w:rPr>
                <w:color w:val="FFFFFF" w:themeColor="background1"/>
                <w:sz w:val="19"/>
                <w:szCs w:val="19"/>
              </w:rPr>
            </w:pPr>
          </w:p>
        </w:tc>
      </w:tr>
      <w:tr w14:paraId="1B1936D0"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20258A8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B40D3DB"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610C5ED6"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29F0F42"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03A904"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9547D7" w:rsidRPr="00BB6921" w:rsidP="009547D7" w14:paraId="31588941" w14:textId="77777777">
            <w:pPr>
              <w:pStyle w:val="DisclaimerHeading"/>
              <w:keepLines/>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9547D7" w:rsidRPr="00C10A93" w:rsidP="009547D7" w14:paraId="2C96453A" w14:textId="77777777">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9547D7" w:rsidRPr="00C10A93" w:rsidP="009547D7" w14:paraId="1BEA87E8" w14:textId="77777777">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9547D7" w:rsidRPr="00C10A93" w:rsidP="009547D7" w14:paraId="0F6C8DDA" w14:textId="77777777">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9547D7" w:rsidRPr="00C10A93" w:rsidP="009547D7" w14:paraId="528A8B02" w14:textId="77777777">
            <w:pPr>
              <w:pStyle w:val="DisclaimerHeading"/>
              <w:keepLines/>
              <w:spacing w:before="40" w:after="40" w:line="220" w:lineRule="exact"/>
              <w:rPr>
                <w:b w:val="0"/>
                <w:color w:val="auto"/>
                <w:sz w:val="18"/>
                <w:szCs w:val="18"/>
              </w:rPr>
            </w:pPr>
          </w:p>
        </w:tc>
      </w:tr>
      <w:tr w14:paraId="38C38A83"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9547D7" w:rsidRPr="00BB6921" w:rsidP="009547D7" w14:paraId="2F77B766" w14:textId="77777777">
            <w:pPr>
              <w:pStyle w:val="DisclaimerHeading"/>
              <w:keepLines/>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9547D7" w:rsidRPr="00C10A93" w:rsidP="009547D7" w14:paraId="1EC39FB2" w14:textId="77777777">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9547D7" w:rsidRPr="00C10A93" w:rsidP="009547D7" w14:paraId="51D228C2" w14:textId="77777777">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9547D7" w:rsidRPr="00C10A93" w:rsidP="009547D7" w14:paraId="0672840E" w14:textId="77777777">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9547D7" w:rsidRPr="00C10A93" w:rsidP="009547D7" w14:paraId="7240BDF0" w14:textId="77777777">
            <w:pPr>
              <w:pStyle w:val="DisclaimerHeading"/>
              <w:keepLines/>
              <w:spacing w:before="40" w:after="40" w:line="220" w:lineRule="exact"/>
              <w:rPr>
                <w:b w:val="0"/>
                <w:color w:val="auto"/>
                <w:sz w:val="18"/>
                <w:szCs w:val="18"/>
              </w:rPr>
            </w:pPr>
          </w:p>
        </w:tc>
      </w:tr>
      <w:tr w14:paraId="11EE07D2"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9547D7" w:rsidRPr="0055010D" w:rsidP="009547D7" w14:paraId="40A593D7" w14:textId="77777777">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9547D7" w:rsidRPr="00C10A93" w:rsidP="009547D7" w14:paraId="2B256730" w14:textId="77777777">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9547D7" w:rsidRPr="00C10A93" w:rsidP="009547D7" w14:paraId="54F46C3C" w14:textId="77777777">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9547D7" w:rsidRPr="00C10A93" w:rsidP="009547D7" w14:paraId="3FE924CB" w14:textId="77777777">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9547D7" w:rsidRPr="00C10A93" w:rsidP="009547D7" w14:paraId="6E356845" w14:textId="77777777">
            <w:pPr>
              <w:pStyle w:val="DisclaimerHeading"/>
              <w:keepLines/>
              <w:spacing w:before="40" w:after="40" w:line="220" w:lineRule="exact"/>
              <w:rPr>
                <w:color w:val="auto"/>
                <w:sz w:val="18"/>
                <w:szCs w:val="18"/>
              </w:rPr>
            </w:pPr>
          </w:p>
        </w:tc>
      </w:tr>
      <w:tr w14:paraId="3B5B5BDC" w14:textId="77777777"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9547D7" w:rsidRPr="0055010D" w:rsidP="009547D7" w14:paraId="73AEB45D" w14:textId="77777777">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right w:val="single" w:sz="4" w:space="0" w:color="auto"/>
            </w:tcBorders>
          </w:tcPr>
          <w:p w:rsidR="009547D7" w:rsidRPr="00C10A93" w:rsidP="009547D7" w14:paraId="104A5304" w14:textId="77777777">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right w:val="single" w:sz="4" w:space="0" w:color="auto"/>
            </w:tcBorders>
          </w:tcPr>
          <w:p w:rsidR="009547D7" w:rsidRPr="00C10A93" w:rsidP="009547D7" w14:paraId="0E5F846B" w14:textId="77777777">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9547D7" w:rsidRPr="00C10A93" w:rsidP="009547D7" w14:paraId="0167A6AF" w14:textId="77777777">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9547D7" w:rsidRPr="00C10A93" w:rsidP="009547D7" w14:paraId="007248B1" w14:textId="77777777">
            <w:pPr>
              <w:pStyle w:val="DisclaimerHeading"/>
              <w:keepLines/>
              <w:spacing w:before="40" w:after="40" w:line="220" w:lineRule="exact"/>
              <w:rPr>
                <w:color w:val="auto"/>
                <w:sz w:val="18"/>
                <w:szCs w:val="18"/>
              </w:rPr>
            </w:pPr>
          </w:p>
        </w:tc>
      </w:tr>
    </w:tbl>
    <w:p w:rsidR="003C3320" w:rsidP="00CE451E" w14:paraId="3ADFD6A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383BB4F1" w14:textId="77777777">
      <w:pPr>
        <w:pStyle w:val="Author"/>
      </w:pPr>
    </w:p>
    <w:p w:rsidR="00FF5170" w14:paraId="65995252" w14:textId="77777777">
      <w:pPr>
        <w:sectPr w:rsidSect="00A86205">
          <w:headerReference w:type="default" r:id="rId4"/>
          <w:footerReference w:type="even" r:id="rId5"/>
          <w:footerReference w:type="default" r:id="rId6"/>
          <w:pgSz w:w="12240" w:h="15840"/>
          <w:pgMar w:top="2070" w:right="1440" w:bottom="1260" w:left="1440" w:header="720" w:footer="669" w:gutter="0"/>
          <w:cols w:space="720" w:equalWidth="0">
            <w:col w:w="9360"/>
          </w:cols>
        </w:sectPr>
      </w:pPr>
    </w:p>
    <w:p w:rsidR="00B62597" w:rsidP="00FF5170" w14:paraId="45F80CA6" w14:textId="77777777">
      <w:pPr>
        <w:pStyle w:val="Author"/>
        <w:keepNext/>
        <w:keepLines/>
      </w:pPr>
      <w:r>
        <w:t xml:space="preserve">Author: </w:t>
      </w:r>
      <w:r w:rsidR="009547D7">
        <w:t>Medha Pai</w:t>
      </w:r>
    </w:p>
    <w:p w:rsidR="00A317A9" w:rsidRPr="00B62597" w:rsidP="00FF5170" w14:paraId="580A159E" w14:textId="77777777">
      <w:pPr>
        <w:pStyle w:val="Author"/>
        <w:keepNext/>
        <w:keepLines/>
      </w:pPr>
    </w:p>
    <w:p w:rsidR="00B62597" w:rsidRPr="00B62597" w:rsidP="00FF5170" w14:paraId="15EC3C05" w14:textId="77777777">
      <w:pPr>
        <w:pStyle w:val="DisclaimerHeading"/>
        <w:keepNext/>
        <w:keepLines/>
      </w:pPr>
      <w:r>
        <w:t>Anti</w:t>
      </w:r>
      <w:r w:rsidRPr="00B62597">
        <w:t>trust:</w:t>
      </w:r>
    </w:p>
    <w:p w:rsidR="00095E8F" w:rsidP="00095E8F" w14:paraId="22C75BB1"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125C0FF9" w14:textId="77777777"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14:paraId="551560E7" w14:textId="77777777">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14:paraId="30336253" w14:textId="77777777">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14:paraId="3E4FCCEA" w14:textId="77777777">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14:paraId="167500C8" w14:textId="77777777">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14:paraId="21ABAEFB" w14:textId="77777777">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14:paraId="5264A11C" w14:textId="77777777">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14:paraId="79858569" w14:textId="77777777">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14:paraId="70DD7CA0"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095E8F" w:rsidP="00246ED8" w14:paraId="7C02F6AA"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w:t>
      </w:r>
      <w:r w:rsidR="00246ED8">
        <w:t> </w:t>
      </w:r>
      <w:r>
        <w:t xml:space="preserve">may be adjourned. For more information, please refer to </w:t>
      </w:r>
      <w:hyperlink r:id="rId7" w:history="1">
        <w:r w:rsidRPr="0080148F">
          <w:rPr>
            <w:rStyle w:val="Hyperlink"/>
          </w:rPr>
          <w:t>PJM’s Antitrust Guidelines for Stakeholder Meetings</w:t>
        </w:r>
      </w:hyperlink>
      <w:r w:rsidRPr="00FF5170">
        <w:t xml:space="preserve">, </w:t>
      </w:r>
      <w:r>
        <w:t xml:space="preserve">which are posted on PJM’s </w:t>
      </w:r>
      <w:hyperlink r:id="rId8" w:history="1">
        <w:r w:rsidRPr="00095E8F">
          <w:rPr>
            <w:rStyle w:val="Hyperlink"/>
          </w:rPr>
          <w:t>Committees and Groups page</w:t>
        </w:r>
      </w:hyperlink>
      <w:r>
        <w:t>.</w:t>
      </w:r>
    </w:p>
    <w:p w:rsidR="00095E8F" w:rsidP="00FF5170" w14:paraId="18BDD15F"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3EE34F0C" w14:textId="77777777"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14:paraId="4515D57F" w14:textId="77777777">
            <w:pPr>
              <w:pStyle w:val="DisclaimerHeading"/>
              <w:spacing w:before="60"/>
            </w:pPr>
            <w:r w:rsidRPr="00B62597">
              <w:t>Code of Conduct:</w:t>
            </w:r>
          </w:p>
          <w:p w:rsidR="00FF5170" w:rsidRPr="00B62597" w:rsidP="00FF5170" w14:paraId="71AC3483" w14:textId="77777777">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FF5170" w:rsidRPr="00B62597" w:rsidP="00FF5170" w14:paraId="76677B73" w14:textId="77777777">
            <w:pPr>
              <w:pStyle w:val="DisclaimerHeading"/>
              <w:spacing w:before="240"/>
            </w:pPr>
            <w:r w:rsidRPr="00B62597">
              <w:t xml:space="preserve">Public Meetings/Media Participation: </w:t>
            </w:r>
          </w:p>
          <w:p w:rsidR="00FF5170" w:rsidP="009360CC" w14:paraId="7AF7E056"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14:paraId="1266434C" w14:textId="77777777">
            <w:pPr>
              <w:pStyle w:val="DisclaimerHeading"/>
              <w:spacing w:before="60"/>
              <w:ind w:left="85"/>
            </w:pPr>
            <w:r>
              <w:t>Participant Identification in Webex:</w:t>
            </w:r>
          </w:p>
          <w:p w:rsidR="00FF5170" w:rsidP="00FF5170" w14:paraId="78307E6B" w14:textId="77777777">
            <w:pPr>
              <w:pStyle w:val="DisclaimerBodyCopy"/>
              <w:ind w:left="85"/>
            </w:pPr>
            <w:r>
              <w:t>When logging into the Webex desktop client, please enter your real</w:t>
            </w:r>
            <w:r w:rsidR="009360CC">
              <w:t> </w:t>
            </w:r>
            <w:r>
              <w:t>first and last name as well as a valid email address. Be sure to select the “call me” option.</w:t>
            </w:r>
          </w:p>
          <w:p w:rsidR="00FF5170" w:rsidP="00FF5170" w14:paraId="776EB778"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FF5170" w:rsidRPr="00D827A6" w:rsidP="00FF5170" w14:paraId="6D81664F" w14:textId="77777777">
            <w:pPr>
              <w:pStyle w:val="DisclaimerHeading"/>
              <w:spacing w:before="240"/>
              <w:ind w:left="85"/>
            </w:pPr>
            <w:r w:rsidRPr="00D827A6">
              <w:t>Participant Use of Webex Chat:</w:t>
            </w:r>
          </w:p>
          <w:p w:rsidR="00FF5170" w:rsidP="00FF5170" w14:paraId="183EDE50"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6ED8" w:rsidP="00246ED8" w14:paraId="315C4ABD" w14:textId="77777777">
      <w:pPr>
        <w:pStyle w:val="DisclaimerBodyCopy"/>
      </w:pPr>
    </w:p>
    <w:p w:rsidR="00027F49" w:rsidP="00027F49" w14:paraId="3CAC0429"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14:paraId="2E286805" w14:textId="77777777">
      <w:pPr>
        <w:pStyle w:val="DisclaimerHeading"/>
      </w:pPr>
    </w:p>
    <w:p w:rsidR="0057441E" w:rsidRPr="009C15C4" w:rsidP="00246ED8" w14:paraId="5F2B5A76"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7AA36D"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4C53" w14:paraId="4DD9763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4C53" w14:paraId="2A97FB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4C53" w:rsidP="00DB29E9" w14:paraId="19E5579C"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68F9">
      <w:rPr>
        <w:rStyle w:val="PageNumber"/>
        <w:noProof/>
      </w:rPr>
      <w:t>1</w:t>
    </w:r>
    <w:r>
      <w:rPr>
        <w:rStyle w:val="PageNumber"/>
      </w:rPr>
      <w:fldChar w:fldCharType="end"/>
    </w:r>
  </w:p>
  <w:bookmarkStart w:id="2" w:name="OLE_LINK1"/>
  <w:p w:rsidR="00B62597" w:rsidRPr="001678E8" w14:paraId="0E5EC5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4C53" w:rsidRPr="00711249" w:rsidP="00A86205" w14:paraId="00DCA5AA"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1AF1BE"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CE67ED7"/>
    <w:multiLevelType w:val="hybridMultilevel"/>
    <w:tmpl w:val="19AA016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6ED2A36"/>
    <w:multiLevelType w:val="hybridMultilevel"/>
    <w:tmpl w:val="482628D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
  </w:num>
  <w:num w:numId="14">
    <w:abstractNumId w:val="1"/>
  </w:num>
  <w:num w:numId="15">
    <w:abstractNumId w:val="9"/>
  </w:num>
  <w:num w:numId="16">
    <w:abstractNumId w:val="7"/>
  </w:num>
  <w:num w:numId="17">
    <w:abstractNumId w:val="7"/>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93"/>
    <w:rsid w:val="00010057"/>
    <w:rsid w:val="000232DF"/>
    <w:rsid w:val="00027F49"/>
    <w:rsid w:val="000333FF"/>
    <w:rsid w:val="000538D7"/>
    <w:rsid w:val="0006798D"/>
    <w:rsid w:val="00092135"/>
    <w:rsid w:val="00092B99"/>
    <w:rsid w:val="00095E8F"/>
    <w:rsid w:val="00096230"/>
    <w:rsid w:val="00117AF9"/>
    <w:rsid w:val="00121F58"/>
    <w:rsid w:val="00161325"/>
    <w:rsid w:val="00165183"/>
    <w:rsid w:val="001678E8"/>
    <w:rsid w:val="00170E02"/>
    <w:rsid w:val="001800BA"/>
    <w:rsid w:val="001A3F77"/>
    <w:rsid w:val="001B2242"/>
    <w:rsid w:val="001C0CC0"/>
    <w:rsid w:val="001D3B68"/>
    <w:rsid w:val="00200A1B"/>
    <w:rsid w:val="002113BD"/>
    <w:rsid w:val="00246ED8"/>
    <w:rsid w:val="0025139E"/>
    <w:rsid w:val="00260714"/>
    <w:rsid w:val="002B2CB6"/>
    <w:rsid w:val="002B2F98"/>
    <w:rsid w:val="002B68F9"/>
    <w:rsid w:val="002C6057"/>
    <w:rsid w:val="002E16A0"/>
    <w:rsid w:val="002F6131"/>
    <w:rsid w:val="00305238"/>
    <w:rsid w:val="003076F3"/>
    <w:rsid w:val="003251CE"/>
    <w:rsid w:val="00337321"/>
    <w:rsid w:val="00394850"/>
    <w:rsid w:val="003B55E1"/>
    <w:rsid w:val="003C20E9"/>
    <w:rsid w:val="003C3320"/>
    <w:rsid w:val="003D7E5C"/>
    <w:rsid w:val="003E7A73"/>
    <w:rsid w:val="003F046E"/>
    <w:rsid w:val="00402461"/>
    <w:rsid w:val="0046043F"/>
    <w:rsid w:val="00473C89"/>
    <w:rsid w:val="00491490"/>
    <w:rsid w:val="00494494"/>
    <w:rsid w:val="004969FA"/>
    <w:rsid w:val="004B07E0"/>
    <w:rsid w:val="004F3D57"/>
    <w:rsid w:val="005015F7"/>
    <w:rsid w:val="00527104"/>
    <w:rsid w:val="0055010D"/>
    <w:rsid w:val="00564DEE"/>
    <w:rsid w:val="0057441E"/>
    <w:rsid w:val="005A5D0D"/>
    <w:rsid w:val="005D6D05"/>
    <w:rsid w:val="006024A0"/>
    <w:rsid w:val="00602967"/>
    <w:rsid w:val="00606F11"/>
    <w:rsid w:val="00697BA4"/>
    <w:rsid w:val="006B6093"/>
    <w:rsid w:val="006C738F"/>
    <w:rsid w:val="006F16A0"/>
    <w:rsid w:val="006F4C5D"/>
    <w:rsid w:val="006F7A52"/>
    <w:rsid w:val="00711249"/>
    <w:rsid w:val="00712CAA"/>
    <w:rsid w:val="00714663"/>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82652"/>
    <w:rsid w:val="008E73B7"/>
    <w:rsid w:val="00911156"/>
    <w:rsid w:val="0091238A"/>
    <w:rsid w:val="00914902"/>
    <w:rsid w:val="00917386"/>
    <w:rsid w:val="009360CC"/>
    <w:rsid w:val="009547D7"/>
    <w:rsid w:val="0097702E"/>
    <w:rsid w:val="00991528"/>
    <w:rsid w:val="009A5430"/>
    <w:rsid w:val="009B2B7E"/>
    <w:rsid w:val="009C15C4"/>
    <w:rsid w:val="009C7250"/>
    <w:rsid w:val="009F53F9"/>
    <w:rsid w:val="00A05391"/>
    <w:rsid w:val="00A317A9"/>
    <w:rsid w:val="00A36FEA"/>
    <w:rsid w:val="00A3732B"/>
    <w:rsid w:val="00A41149"/>
    <w:rsid w:val="00A56D57"/>
    <w:rsid w:val="00A75ADE"/>
    <w:rsid w:val="00A86205"/>
    <w:rsid w:val="00A91312"/>
    <w:rsid w:val="00A931C3"/>
    <w:rsid w:val="00AC1387"/>
    <w:rsid w:val="00AC2247"/>
    <w:rsid w:val="00B16D95"/>
    <w:rsid w:val="00B20316"/>
    <w:rsid w:val="00B34E3C"/>
    <w:rsid w:val="00B42FAE"/>
    <w:rsid w:val="00B62597"/>
    <w:rsid w:val="00B860EE"/>
    <w:rsid w:val="00BA6146"/>
    <w:rsid w:val="00BB531B"/>
    <w:rsid w:val="00BB6921"/>
    <w:rsid w:val="00BC057C"/>
    <w:rsid w:val="00BF331B"/>
    <w:rsid w:val="00C10A93"/>
    <w:rsid w:val="00C439EC"/>
    <w:rsid w:val="00C5307B"/>
    <w:rsid w:val="00C72168"/>
    <w:rsid w:val="00C757F4"/>
    <w:rsid w:val="00C75A9D"/>
    <w:rsid w:val="00C843A9"/>
    <w:rsid w:val="00CA49B9"/>
    <w:rsid w:val="00CB19DE"/>
    <w:rsid w:val="00CB475B"/>
    <w:rsid w:val="00CC1B47"/>
    <w:rsid w:val="00CE451E"/>
    <w:rsid w:val="00D06EC8"/>
    <w:rsid w:val="00D136EA"/>
    <w:rsid w:val="00D251ED"/>
    <w:rsid w:val="00D45C7C"/>
    <w:rsid w:val="00D827A6"/>
    <w:rsid w:val="00D831E4"/>
    <w:rsid w:val="00D95949"/>
    <w:rsid w:val="00DA23DE"/>
    <w:rsid w:val="00DB29E9"/>
    <w:rsid w:val="00DE34CF"/>
    <w:rsid w:val="00DE77B9"/>
    <w:rsid w:val="00DF1112"/>
    <w:rsid w:val="00E1605D"/>
    <w:rsid w:val="00E32B6B"/>
    <w:rsid w:val="00E5387A"/>
    <w:rsid w:val="00E55E84"/>
    <w:rsid w:val="00E946F8"/>
    <w:rsid w:val="00EB68B0"/>
    <w:rsid w:val="00F415AE"/>
    <w:rsid w:val="00F4190F"/>
    <w:rsid w:val="00F5077C"/>
    <w:rsid w:val="00F63575"/>
    <w:rsid w:val="00F94C53"/>
    <w:rsid w:val="00FA5955"/>
    <w:rsid w:val="00FB0E96"/>
    <w:rsid w:val="00FB1739"/>
    <w:rsid w:val="00FC2B9A"/>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DE69C6"/>
  <w15:docId w15:val="{2EE17EFA-633E-4540-9011-E935E930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 w:type="paragraph" w:styleId="ListParagraph">
    <w:name w:val="List Paragraph"/>
    <w:basedOn w:val="Normal"/>
    <w:uiPriority w:val="34"/>
    <w:qFormat/>
    <w:rsid w:val="0095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image" Target="media/image3.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https://www.pjm.com/-/media/DotCom/committees-groups/pjm-antitrust-guidelinesw-for-the-stakeholder-meetings.pdf" TargetMode="External" /><Relationship Id="rId8" Type="http://schemas.openxmlformats.org/officeDocument/2006/relationships/hyperlink" Target="https://www.pjm.com/committees-and-groups"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rzes\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