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7626A0" w:rsidRDefault="00434BE5" w:rsidP="000917ED">
      <w:pPr>
        <w:pStyle w:val="MeetingDetails"/>
      </w:pPr>
      <w:bookmarkStart w:id="0" w:name="_GoBack"/>
      <w:bookmarkEnd w:id="0"/>
      <w:r w:rsidRPr="007626A0">
        <w:t>Markets and Reliability Committee</w:t>
      </w:r>
    </w:p>
    <w:p w:rsidR="00467899" w:rsidRDefault="00467899" w:rsidP="00467899">
      <w:pPr>
        <w:pStyle w:val="MeetingDetails"/>
      </w:pPr>
      <w:r>
        <w:t>PJM Conference and Training Center, Audubon, PA</w:t>
      </w:r>
    </w:p>
    <w:p w:rsidR="000917ED" w:rsidRPr="007626A0" w:rsidRDefault="00443CF4" w:rsidP="000917ED">
      <w:pPr>
        <w:pStyle w:val="MeetingDetails"/>
      </w:pPr>
      <w:r>
        <w:t>November 1</w:t>
      </w:r>
      <w:r w:rsidR="00CE40C7" w:rsidRPr="007626A0">
        <w:t>7</w:t>
      </w:r>
      <w:r w:rsidR="00E12F34" w:rsidRPr="007626A0">
        <w:t>, 2016</w:t>
      </w:r>
    </w:p>
    <w:p w:rsidR="00766D3B" w:rsidRPr="007626A0" w:rsidRDefault="00434BE5" w:rsidP="000917ED">
      <w:pPr>
        <w:pStyle w:val="MeetingDetails"/>
      </w:pPr>
      <w:r w:rsidRPr="007626A0">
        <w:t>9</w:t>
      </w:r>
      <w:r w:rsidR="00D267EF" w:rsidRPr="007626A0">
        <w:t>:</w:t>
      </w:r>
      <w:r w:rsidR="002C491A" w:rsidRPr="007626A0">
        <w:t>0</w:t>
      </w:r>
      <w:r w:rsidR="00063B43" w:rsidRPr="007626A0">
        <w:t>0</w:t>
      </w:r>
      <w:r w:rsidR="000917ED" w:rsidRPr="007626A0">
        <w:t xml:space="preserve"> </w:t>
      </w:r>
      <w:r w:rsidRPr="007626A0">
        <w:t>a</w:t>
      </w:r>
      <w:r w:rsidR="000917ED" w:rsidRPr="007626A0">
        <w:t>.m. –</w:t>
      </w:r>
      <w:r w:rsidR="00BA38C1" w:rsidRPr="007626A0">
        <w:t xml:space="preserve"> </w:t>
      </w:r>
      <w:r w:rsidR="0041377B">
        <w:t>2:30</w:t>
      </w:r>
      <w:r w:rsidR="007E62ED" w:rsidRPr="007626A0">
        <w:t xml:space="preserve"> </w:t>
      </w:r>
      <w:r w:rsidR="00B51ED6" w:rsidRPr="007626A0">
        <w:t>p.m.</w:t>
      </w:r>
      <w:r w:rsidR="000917ED" w:rsidRPr="007626A0">
        <w:t xml:space="preserve"> EPT</w:t>
      </w:r>
    </w:p>
    <w:p w:rsidR="00B62597" w:rsidRPr="007626A0" w:rsidRDefault="00B62597" w:rsidP="00B62597">
      <w:pPr>
        <w:spacing w:after="0" w:line="240" w:lineRule="auto"/>
        <w:rPr>
          <w:rFonts w:ascii="Arial Narrow" w:eastAsia="Times New Roman" w:hAnsi="Arial Narrow" w:cs="Times New Roman"/>
          <w:sz w:val="24"/>
          <w:szCs w:val="20"/>
        </w:rPr>
      </w:pPr>
    </w:p>
    <w:p w:rsidR="00B62597" w:rsidRPr="007626A0" w:rsidRDefault="002B2F98" w:rsidP="003B55E1">
      <w:pPr>
        <w:pStyle w:val="PrimaryHeading"/>
        <w:rPr>
          <w:caps/>
        </w:rPr>
      </w:pPr>
      <w:bookmarkStart w:id="1" w:name="OLE_LINK5"/>
      <w:bookmarkStart w:id="2" w:name="OLE_LINK3"/>
      <w:r w:rsidRPr="007626A0">
        <w:t>Administration (</w:t>
      </w:r>
      <w:r w:rsidR="00434BE5" w:rsidRPr="007626A0">
        <w:t>9</w:t>
      </w:r>
      <w:r w:rsidR="00D267EF" w:rsidRPr="007626A0">
        <w:t>:</w:t>
      </w:r>
      <w:r w:rsidR="002C491A" w:rsidRPr="007626A0">
        <w:t>0</w:t>
      </w:r>
      <w:r w:rsidRPr="007626A0">
        <w:t>0-</w:t>
      </w:r>
      <w:r w:rsidR="00434BE5" w:rsidRPr="007626A0">
        <w:t>9</w:t>
      </w:r>
      <w:r w:rsidR="00D267EF" w:rsidRPr="007626A0">
        <w:t>:</w:t>
      </w:r>
      <w:r w:rsidR="002C491A" w:rsidRPr="007626A0">
        <w:t>0</w:t>
      </w:r>
      <w:r w:rsidR="000917ED" w:rsidRPr="007626A0">
        <w:t>5</w:t>
      </w:r>
      <w:r w:rsidR="00B62597" w:rsidRPr="007626A0">
        <w:t>)</w:t>
      </w:r>
    </w:p>
    <w:bookmarkEnd w:id="1"/>
    <w:bookmarkEnd w:id="2"/>
    <w:p w:rsidR="00B62597" w:rsidRPr="007626A0" w:rsidRDefault="000917ED" w:rsidP="006E4EC3">
      <w:pPr>
        <w:pStyle w:val="IndTextS"/>
        <w:widowControl w:val="0"/>
        <w:ind w:left="360"/>
        <w:rPr>
          <w:szCs w:val="24"/>
        </w:rPr>
      </w:pPr>
      <w:r w:rsidRPr="007626A0">
        <w:rPr>
          <w:szCs w:val="24"/>
        </w:rPr>
        <w:t>Welcome, announcements and Anti-trust and Code of Conduct announcement – Mr. Dave Anders</w:t>
      </w:r>
    </w:p>
    <w:p w:rsidR="001D3B68" w:rsidRPr="007626A0" w:rsidRDefault="00434BE5" w:rsidP="001D3B68">
      <w:pPr>
        <w:pStyle w:val="PrimaryHeading"/>
      </w:pPr>
      <w:r w:rsidRPr="007626A0">
        <w:t>Endorsements/Approvals</w:t>
      </w:r>
      <w:r w:rsidR="000917ED" w:rsidRPr="007626A0">
        <w:t xml:space="preserve"> (</w:t>
      </w:r>
      <w:r w:rsidRPr="007626A0">
        <w:t>9</w:t>
      </w:r>
      <w:r w:rsidR="00D267EF" w:rsidRPr="007626A0">
        <w:t>:</w:t>
      </w:r>
      <w:r w:rsidR="002C491A" w:rsidRPr="007626A0">
        <w:t>0</w:t>
      </w:r>
      <w:r w:rsidR="00BC6ABB" w:rsidRPr="007626A0">
        <w:t>5</w:t>
      </w:r>
      <w:r w:rsidR="000917ED" w:rsidRPr="007626A0">
        <w:t>-</w:t>
      </w:r>
      <w:r w:rsidR="0076331B">
        <w:t>1</w:t>
      </w:r>
      <w:r w:rsidR="00F87CC1">
        <w:t>2</w:t>
      </w:r>
      <w:r w:rsidR="0076331B">
        <w:t>:</w:t>
      </w:r>
      <w:r w:rsidR="0041377B">
        <w:t>1</w:t>
      </w:r>
      <w:r w:rsidR="0076331B">
        <w:t>5</w:t>
      </w:r>
      <w:r w:rsidR="000917ED" w:rsidRPr="007626A0">
        <w:t>)</w:t>
      </w:r>
    </w:p>
    <w:p w:rsidR="00434BE5" w:rsidRPr="007626A0" w:rsidRDefault="00434BE5" w:rsidP="00EB14F2">
      <w:pPr>
        <w:pStyle w:val="SecondaryHeading-Numbered"/>
        <w:numPr>
          <w:ilvl w:val="0"/>
          <w:numId w:val="2"/>
        </w:numPr>
        <w:rPr>
          <w:b w:val="0"/>
          <w:u w:val="single"/>
        </w:rPr>
      </w:pPr>
      <w:r w:rsidRPr="007626A0">
        <w:rPr>
          <w:b w:val="0"/>
          <w:u w:val="single"/>
        </w:rPr>
        <w:t>Draft Minutes (9:</w:t>
      </w:r>
      <w:r w:rsidR="002C491A" w:rsidRPr="007626A0">
        <w:rPr>
          <w:b w:val="0"/>
          <w:u w:val="single"/>
        </w:rPr>
        <w:t>0</w:t>
      </w:r>
      <w:r w:rsidR="00BC6ABB" w:rsidRPr="007626A0">
        <w:rPr>
          <w:b w:val="0"/>
          <w:u w:val="single"/>
        </w:rPr>
        <w:t>5</w:t>
      </w:r>
      <w:r w:rsidRPr="007626A0">
        <w:rPr>
          <w:b w:val="0"/>
          <w:u w:val="single"/>
        </w:rPr>
        <w:t>-9:</w:t>
      </w:r>
      <w:r w:rsidR="002C491A" w:rsidRPr="007626A0">
        <w:rPr>
          <w:b w:val="0"/>
          <w:u w:val="single"/>
        </w:rPr>
        <w:t>1</w:t>
      </w:r>
      <w:r w:rsidR="00BC6ABB" w:rsidRPr="007626A0">
        <w:rPr>
          <w:b w:val="0"/>
          <w:u w:val="single"/>
        </w:rPr>
        <w:t>0</w:t>
      </w:r>
      <w:r w:rsidRPr="007626A0">
        <w:rPr>
          <w:b w:val="0"/>
          <w:u w:val="single"/>
        </w:rPr>
        <w:t>)</w:t>
      </w:r>
    </w:p>
    <w:p w:rsidR="00434BE5" w:rsidRPr="007626A0" w:rsidRDefault="00434BE5" w:rsidP="006E4EC3">
      <w:pPr>
        <w:pStyle w:val="IndTextS"/>
        <w:widowControl w:val="0"/>
        <w:ind w:left="360"/>
        <w:rPr>
          <w:szCs w:val="24"/>
        </w:rPr>
      </w:pPr>
      <w:r w:rsidRPr="007626A0">
        <w:rPr>
          <w:b/>
          <w:szCs w:val="24"/>
        </w:rPr>
        <w:t>Approve</w:t>
      </w:r>
      <w:r w:rsidRPr="007626A0">
        <w:rPr>
          <w:szCs w:val="24"/>
        </w:rPr>
        <w:t xml:space="preserve"> minutes </w:t>
      </w:r>
      <w:r w:rsidR="008A480C" w:rsidRPr="007626A0">
        <w:rPr>
          <w:szCs w:val="24"/>
        </w:rPr>
        <w:t>of</w:t>
      </w:r>
      <w:r w:rsidRPr="007626A0">
        <w:rPr>
          <w:szCs w:val="24"/>
        </w:rPr>
        <w:t xml:space="preserve"> the </w:t>
      </w:r>
      <w:r w:rsidR="00443CF4">
        <w:rPr>
          <w:szCs w:val="24"/>
        </w:rPr>
        <w:t>October 27</w:t>
      </w:r>
      <w:r w:rsidR="003C7573" w:rsidRPr="007626A0">
        <w:rPr>
          <w:szCs w:val="24"/>
        </w:rPr>
        <w:t>, 201</w:t>
      </w:r>
      <w:r w:rsidR="00CA7B62" w:rsidRPr="007626A0">
        <w:rPr>
          <w:szCs w:val="24"/>
        </w:rPr>
        <w:t>6</w:t>
      </w:r>
      <w:r w:rsidR="003C7573" w:rsidRPr="007626A0">
        <w:rPr>
          <w:szCs w:val="24"/>
        </w:rPr>
        <w:t xml:space="preserve"> </w:t>
      </w:r>
      <w:r w:rsidR="006407C5" w:rsidRPr="007626A0">
        <w:rPr>
          <w:szCs w:val="24"/>
        </w:rPr>
        <w:t xml:space="preserve">meeting of the </w:t>
      </w:r>
      <w:r w:rsidRPr="007626A0">
        <w:rPr>
          <w:szCs w:val="24"/>
        </w:rPr>
        <w:t>Markets and Reliability Committee (MRC).</w:t>
      </w:r>
    </w:p>
    <w:p w:rsidR="00434BE5" w:rsidRPr="007626A0" w:rsidRDefault="00434BE5" w:rsidP="00EB14F2">
      <w:pPr>
        <w:pStyle w:val="SecondaryHeading-Numbered"/>
        <w:numPr>
          <w:ilvl w:val="0"/>
          <w:numId w:val="2"/>
        </w:numPr>
        <w:rPr>
          <w:b w:val="0"/>
          <w:u w:val="single"/>
        </w:rPr>
      </w:pPr>
      <w:r w:rsidRPr="007626A0">
        <w:rPr>
          <w:b w:val="0"/>
          <w:u w:val="single"/>
        </w:rPr>
        <w:t xml:space="preserve">PJM Manuals </w:t>
      </w:r>
      <w:r w:rsidR="00F03D4A" w:rsidRPr="007626A0">
        <w:rPr>
          <w:b w:val="0"/>
          <w:u w:val="single"/>
        </w:rPr>
        <w:t>(</w:t>
      </w:r>
      <w:r w:rsidR="00A617E1" w:rsidRPr="007626A0">
        <w:rPr>
          <w:b w:val="0"/>
          <w:u w:val="single"/>
        </w:rPr>
        <w:t>9:</w:t>
      </w:r>
      <w:r w:rsidR="002C491A" w:rsidRPr="007626A0">
        <w:rPr>
          <w:b w:val="0"/>
          <w:u w:val="single"/>
        </w:rPr>
        <w:t>1</w:t>
      </w:r>
      <w:r w:rsidR="00830950" w:rsidRPr="007626A0">
        <w:rPr>
          <w:b w:val="0"/>
          <w:u w:val="single"/>
        </w:rPr>
        <w:t>0-</w:t>
      </w:r>
      <w:r w:rsidR="0076331B">
        <w:rPr>
          <w:b w:val="0"/>
          <w:u w:val="single"/>
        </w:rPr>
        <w:t>10</w:t>
      </w:r>
      <w:r w:rsidR="003A4E0A" w:rsidRPr="007626A0">
        <w:rPr>
          <w:b w:val="0"/>
          <w:u w:val="single"/>
        </w:rPr>
        <w:t>:</w:t>
      </w:r>
      <w:r w:rsidR="0076331B">
        <w:rPr>
          <w:b w:val="0"/>
          <w:u w:val="single"/>
        </w:rPr>
        <w:t>1</w:t>
      </w:r>
      <w:r w:rsidR="002C491A" w:rsidRPr="007626A0">
        <w:rPr>
          <w:b w:val="0"/>
          <w:u w:val="single"/>
        </w:rPr>
        <w:t>0</w:t>
      </w:r>
      <w:r w:rsidRPr="007626A0">
        <w:rPr>
          <w:b w:val="0"/>
          <w:u w:val="single"/>
        </w:rPr>
        <w:t>)</w:t>
      </w:r>
    </w:p>
    <w:p w:rsidR="00DF4E9B" w:rsidRPr="007626A0" w:rsidRDefault="00443CF4" w:rsidP="00EB14F2">
      <w:pPr>
        <w:pStyle w:val="IndTextS"/>
        <w:widowControl w:val="0"/>
        <w:numPr>
          <w:ilvl w:val="0"/>
          <w:numId w:val="3"/>
        </w:numPr>
        <w:spacing w:after="120"/>
        <w:ind w:left="720"/>
      </w:pPr>
      <w:r w:rsidRPr="007626A0">
        <w:rPr>
          <w:szCs w:val="24"/>
        </w:rPr>
        <w:t>Ms. Nicole Scott will review proposed changes to Manual 03: Transmission Operations resulting from the periodic review of the manual</w:t>
      </w:r>
      <w:r w:rsidR="009F14A7" w:rsidRPr="007626A0">
        <w:rPr>
          <w:szCs w:val="24"/>
        </w:rPr>
        <w:t>.</w:t>
      </w:r>
      <w:r w:rsidR="009F14A7" w:rsidRPr="007626A0">
        <w:rPr>
          <w:b/>
        </w:rPr>
        <w:t xml:space="preserve"> </w:t>
      </w:r>
      <w:r w:rsidR="00003800" w:rsidRPr="007626A0">
        <w:rPr>
          <w:b/>
        </w:rPr>
        <w:t xml:space="preserve"> </w:t>
      </w:r>
      <w:r w:rsidR="00DF4E9B" w:rsidRPr="007626A0">
        <w:rPr>
          <w:b/>
        </w:rPr>
        <w:t>The committee will be asked to endorse these proposed revisions.</w:t>
      </w:r>
    </w:p>
    <w:p w:rsidR="00D161E6" w:rsidRDefault="00443CF4" w:rsidP="00EB14F2">
      <w:pPr>
        <w:pStyle w:val="IndTextS"/>
        <w:widowControl w:val="0"/>
        <w:numPr>
          <w:ilvl w:val="0"/>
          <w:numId w:val="3"/>
        </w:numPr>
        <w:spacing w:after="120"/>
        <w:ind w:left="720"/>
      </w:pPr>
      <w:r w:rsidRPr="007626A0">
        <w:rPr>
          <w:szCs w:val="24"/>
        </w:rPr>
        <w:t>Mr. Aaron Berner will present updates to the Tariff and Manual 14A: Generation and Transmission Interconnection Process that are a result of discussions at Special Planning Committee sessions regarding New Service Request Cost Allocation &amp; Study Methods</w:t>
      </w:r>
      <w:r w:rsidR="00D161E6" w:rsidRPr="007626A0">
        <w:t xml:space="preserve">.  </w:t>
      </w:r>
      <w:r w:rsidR="00D161E6" w:rsidRPr="007626A0">
        <w:rPr>
          <w:b/>
        </w:rPr>
        <w:t>The committee will be asked to endorse these proposed revisions.</w:t>
      </w:r>
      <w:r w:rsidR="00D161E6" w:rsidRPr="007626A0">
        <w:t xml:space="preserve">  </w:t>
      </w:r>
    </w:p>
    <w:p w:rsidR="00443CF4" w:rsidRPr="007626A0" w:rsidRDefault="00443CF4" w:rsidP="00EB14F2">
      <w:pPr>
        <w:pStyle w:val="IndTextS"/>
        <w:widowControl w:val="0"/>
        <w:numPr>
          <w:ilvl w:val="0"/>
          <w:numId w:val="3"/>
        </w:numPr>
        <w:spacing w:after="120"/>
        <w:ind w:left="720"/>
      </w:pPr>
      <w:r w:rsidRPr="007626A0">
        <w:rPr>
          <w:szCs w:val="24"/>
        </w:rPr>
        <w:t>Mr. Mike Herman will present modifications to PJM Manual 14B: PJM Region Transmission Planning Process regarding the Capacity Import Limit calculation procedure.  The procedure resides in Attachment G.11 of Manual 14B.</w:t>
      </w:r>
      <w:r w:rsidRPr="007626A0">
        <w:rPr>
          <w:b/>
        </w:rPr>
        <w:t xml:space="preserve">  The committee will be asked to endorse these proposed revisions.</w:t>
      </w:r>
    </w:p>
    <w:p w:rsidR="00443CF4" w:rsidRPr="007626A0" w:rsidRDefault="00443CF4" w:rsidP="00EB14F2">
      <w:pPr>
        <w:pStyle w:val="IndTextS"/>
        <w:widowControl w:val="0"/>
        <w:numPr>
          <w:ilvl w:val="0"/>
          <w:numId w:val="3"/>
        </w:numPr>
        <w:spacing w:after="120"/>
        <w:ind w:left="720"/>
      </w:pPr>
      <w:r w:rsidRPr="007626A0">
        <w:rPr>
          <w:color w:val="000000"/>
        </w:rPr>
        <w:t>Mr. Jeff Schmitt will review proposed revisions to Manual 15: Cost Development Guidelines regarding Fuel Cost Policies contingent upon FERC approval of PJM’s related compliance filing</w:t>
      </w:r>
      <w:r w:rsidRPr="007626A0">
        <w:t xml:space="preserve">.  </w:t>
      </w:r>
      <w:r w:rsidRPr="007626A0">
        <w:rPr>
          <w:b/>
        </w:rPr>
        <w:t>The committee will be asked to endorse these proposed revisions</w:t>
      </w:r>
      <w:r>
        <w:rPr>
          <w:b/>
        </w:rPr>
        <w:t xml:space="preserve"> pending FERC approval of the related filing</w:t>
      </w:r>
      <w:r w:rsidRPr="007626A0">
        <w:rPr>
          <w:b/>
        </w:rPr>
        <w:t>.</w:t>
      </w:r>
      <w:r w:rsidRPr="007626A0">
        <w:t xml:space="preserve">  </w:t>
      </w:r>
    </w:p>
    <w:p w:rsidR="00443CF4" w:rsidRPr="007626A0" w:rsidRDefault="00443CF4" w:rsidP="00EB14F2">
      <w:pPr>
        <w:pStyle w:val="IndTextS"/>
        <w:widowControl w:val="0"/>
        <w:numPr>
          <w:ilvl w:val="0"/>
          <w:numId w:val="3"/>
        </w:numPr>
        <w:spacing w:after="120"/>
        <w:ind w:left="720"/>
      </w:pPr>
      <w:r w:rsidRPr="007626A0">
        <w:rPr>
          <w:szCs w:val="24"/>
        </w:rPr>
        <w:t>Ms. Terri Esterly will present proposed revisions to Manual 18B: Energy Efficiency Measurement &amp; Verification identified through the periodic review of the manual.</w:t>
      </w:r>
      <w:r w:rsidRPr="007626A0">
        <w:rPr>
          <w:b/>
        </w:rPr>
        <w:t xml:space="preserve">  The committee will be asked to endorse these proposed revisions.</w:t>
      </w:r>
    </w:p>
    <w:p w:rsidR="00443CF4" w:rsidRPr="007626A0" w:rsidRDefault="00443CF4" w:rsidP="00EB14F2">
      <w:pPr>
        <w:pStyle w:val="IndTextS"/>
        <w:widowControl w:val="0"/>
        <w:numPr>
          <w:ilvl w:val="0"/>
          <w:numId w:val="3"/>
        </w:numPr>
        <w:spacing w:after="120"/>
        <w:ind w:left="720"/>
      </w:pPr>
      <w:r w:rsidRPr="007626A0">
        <w:rPr>
          <w:szCs w:val="24"/>
        </w:rPr>
        <w:t>Mr. Jerry Bell will review proposed draft changes to Manual 21: Rules and Procedures for Determination of Generating Capability related to generator testing requirements</w:t>
      </w:r>
      <w:r w:rsidRPr="007626A0">
        <w:t xml:space="preserve">.  </w:t>
      </w:r>
      <w:r w:rsidRPr="007626A0">
        <w:rPr>
          <w:b/>
        </w:rPr>
        <w:t>The committee will be asked to endorse these proposed revisions.</w:t>
      </w:r>
      <w:r w:rsidRPr="007626A0">
        <w:t xml:space="preserve">  </w:t>
      </w:r>
    </w:p>
    <w:p w:rsidR="00443CF4" w:rsidRPr="00122BE8" w:rsidRDefault="00443CF4" w:rsidP="00EB14F2">
      <w:pPr>
        <w:pStyle w:val="IndTextS"/>
        <w:widowControl w:val="0"/>
        <w:numPr>
          <w:ilvl w:val="0"/>
          <w:numId w:val="3"/>
        </w:numPr>
        <w:ind w:left="720"/>
      </w:pPr>
      <w:r w:rsidRPr="00122BE8">
        <w:rPr>
          <w:szCs w:val="24"/>
        </w:rPr>
        <w:t>Mr. Ray Fernandez will review proposed revisions to Manual 28: Operating Agreement Accounting to better describe a fully metered EDC.</w:t>
      </w:r>
      <w:r w:rsidRPr="00122BE8">
        <w:t xml:space="preserve">  </w:t>
      </w:r>
      <w:r w:rsidRPr="00122BE8">
        <w:rPr>
          <w:b/>
        </w:rPr>
        <w:t>The committee will be asked to endorse these proposed revisions.</w:t>
      </w:r>
    </w:p>
    <w:p w:rsidR="00443CF4" w:rsidRPr="00443CF4" w:rsidRDefault="00443CF4" w:rsidP="00443CF4"/>
    <w:p w:rsidR="00443CF4" w:rsidRPr="007626A0" w:rsidRDefault="00443CF4" w:rsidP="00EB14F2">
      <w:pPr>
        <w:pStyle w:val="SecondaryHeading-Numbered"/>
        <w:numPr>
          <w:ilvl w:val="0"/>
          <w:numId w:val="2"/>
        </w:numPr>
        <w:rPr>
          <w:b w:val="0"/>
          <w:u w:val="single"/>
        </w:rPr>
      </w:pPr>
      <w:r w:rsidRPr="007626A0">
        <w:rPr>
          <w:b w:val="0"/>
          <w:u w:val="single"/>
        </w:rPr>
        <w:lastRenderedPageBreak/>
        <w:t>Day Ahead Scheduling Reserve (DASR) Requirement (10:</w:t>
      </w:r>
      <w:r w:rsidR="00F87CC1">
        <w:rPr>
          <w:b w:val="0"/>
          <w:u w:val="single"/>
        </w:rPr>
        <w:t>10-10:25</w:t>
      </w:r>
      <w:r w:rsidRPr="007626A0">
        <w:rPr>
          <w:b w:val="0"/>
          <w:u w:val="single"/>
        </w:rPr>
        <w:t>)</w:t>
      </w:r>
    </w:p>
    <w:p w:rsidR="00443CF4" w:rsidRPr="007626A0" w:rsidRDefault="00443CF4" w:rsidP="00443CF4">
      <w:pPr>
        <w:pStyle w:val="IndTextS"/>
        <w:widowControl w:val="0"/>
        <w:ind w:left="360"/>
        <w:rPr>
          <w:szCs w:val="24"/>
        </w:rPr>
      </w:pPr>
      <w:r w:rsidRPr="007626A0">
        <w:rPr>
          <w:szCs w:val="24"/>
        </w:rPr>
        <w:t xml:space="preserve">Mr. Tom Hauske will review the preliminary 2017 DASR Requirement.  This reserve requirement will be incorporated into Manual 13: Emergency Operations, and become effective on January 1, 2017.  </w:t>
      </w:r>
      <w:r w:rsidRPr="00122BE8">
        <w:rPr>
          <w:b/>
          <w:szCs w:val="24"/>
        </w:rPr>
        <w:t>The committee will be asked to endorse the 2017 DASR Requirement.</w:t>
      </w:r>
    </w:p>
    <w:p w:rsidR="00443CF4" w:rsidRPr="007626A0" w:rsidRDefault="00443CF4" w:rsidP="00EB14F2">
      <w:pPr>
        <w:pStyle w:val="SecondaryHeading-Numbered"/>
        <w:numPr>
          <w:ilvl w:val="0"/>
          <w:numId w:val="2"/>
        </w:numPr>
        <w:rPr>
          <w:b w:val="0"/>
          <w:u w:val="single"/>
        </w:rPr>
      </w:pPr>
      <w:r w:rsidRPr="007626A0">
        <w:rPr>
          <w:b w:val="0"/>
          <w:u w:val="single"/>
        </w:rPr>
        <w:t>Glossary of Terms (</w:t>
      </w:r>
      <w:r w:rsidR="00F87CC1">
        <w:rPr>
          <w:b w:val="0"/>
          <w:u w:val="single"/>
        </w:rPr>
        <w:t>10:25-10:35</w:t>
      </w:r>
      <w:r w:rsidRPr="007626A0">
        <w:rPr>
          <w:b w:val="0"/>
          <w:u w:val="single"/>
        </w:rPr>
        <w:t>)</w:t>
      </w:r>
    </w:p>
    <w:p w:rsidR="00443CF4" w:rsidRPr="007626A0" w:rsidRDefault="00443CF4" w:rsidP="00443CF4">
      <w:pPr>
        <w:pStyle w:val="SecondaryHeading-Numbered"/>
        <w:ind w:left="360"/>
        <w:rPr>
          <w:b w:val="0"/>
          <w:szCs w:val="24"/>
        </w:rPr>
      </w:pPr>
      <w:r w:rsidRPr="007626A0">
        <w:rPr>
          <w:b w:val="0"/>
          <w:szCs w:val="24"/>
        </w:rPr>
        <w:t xml:space="preserve">Ms. Janell Fabiano will provide an update on the new </w:t>
      </w:r>
      <w:hyperlink r:id="rId9" w:history="1">
        <w:r w:rsidRPr="007626A0">
          <w:rPr>
            <w:rStyle w:val="Hyperlink"/>
            <w:b w:val="0"/>
          </w:rPr>
          <w:t>Glossary available on PJM’s website</w:t>
        </w:r>
      </w:hyperlink>
      <w:r w:rsidRPr="007626A0">
        <w:rPr>
          <w:b w:val="0"/>
          <w:szCs w:val="24"/>
        </w:rPr>
        <w:t xml:space="preserve">, as well as the pending retirement of Manual 35:  Definitions and Acronyms.  </w:t>
      </w:r>
      <w:r w:rsidRPr="00122BE8">
        <w:rPr>
          <w:szCs w:val="24"/>
        </w:rPr>
        <w:t>The committee will be asked to endorse the retirement of Manual 35.</w:t>
      </w:r>
    </w:p>
    <w:p w:rsidR="00443CF4" w:rsidRPr="007626A0" w:rsidRDefault="00443CF4" w:rsidP="00EB14F2">
      <w:pPr>
        <w:pStyle w:val="SecondaryHeading-Numbered"/>
        <w:numPr>
          <w:ilvl w:val="0"/>
          <w:numId w:val="2"/>
        </w:numPr>
        <w:rPr>
          <w:b w:val="0"/>
          <w:u w:val="single"/>
        </w:rPr>
      </w:pPr>
      <w:r w:rsidRPr="007626A0">
        <w:rPr>
          <w:b w:val="0"/>
          <w:u w:val="single"/>
        </w:rPr>
        <w:t>Underperformance Risk Management Sr. Task Force (URMSTF) (</w:t>
      </w:r>
      <w:r w:rsidR="00F87CC1">
        <w:rPr>
          <w:b w:val="0"/>
          <w:u w:val="single"/>
        </w:rPr>
        <w:t>10:35-10:50</w:t>
      </w:r>
      <w:r w:rsidRPr="007626A0">
        <w:rPr>
          <w:b w:val="0"/>
          <w:u w:val="single"/>
        </w:rPr>
        <w:t>)</w:t>
      </w:r>
    </w:p>
    <w:p w:rsidR="00443CF4" w:rsidRPr="007626A0" w:rsidRDefault="00443CF4" w:rsidP="00443CF4">
      <w:pPr>
        <w:pStyle w:val="IndTextS"/>
        <w:widowControl w:val="0"/>
        <w:ind w:left="360"/>
        <w:rPr>
          <w:color w:val="000000"/>
        </w:rPr>
      </w:pPr>
      <w:r w:rsidRPr="007626A0">
        <w:rPr>
          <w:color w:val="000000"/>
        </w:rPr>
        <w:t xml:space="preserve">Ms. Rebecca Carroll will present a proposal regarding underperformance risk management in Capacity Performance.  </w:t>
      </w:r>
      <w:r w:rsidRPr="00122BE8">
        <w:rPr>
          <w:b/>
          <w:color w:val="000000"/>
        </w:rPr>
        <w:t>T</w:t>
      </w:r>
      <w:r w:rsidRPr="00122BE8">
        <w:rPr>
          <w:b/>
          <w:szCs w:val="24"/>
        </w:rPr>
        <w:t>he committee will be asked to endorse these proposed revisions.</w:t>
      </w:r>
    </w:p>
    <w:p w:rsidR="00443CF4" w:rsidRPr="007626A0" w:rsidRDefault="00443CF4" w:rsidP="00EB14F2">
      <w:pPr>
        <w:pStyle w:val="SecondaryHeading-Numbered"/>
        <w:numPr>
          <w:ilvl w:val="0"/>
          <w:numId w:val="2"/>
        </w:numPr>
        <w:rPr>
          <w:b w:val="0"/>
          <w:u w:val="single"/>
        </w:rPr>
      </w:pPr>
      <w:r w:rsidRPr="007626A0">
        <w:rPr>
          <w:b w:val="0"/>
          <w:u w:val="single"/>
        </w:rPr>
        <w:t>Seasonal Capacity Resources Sr. Task Force (SCRSTF) (</w:t>
      </w:r>
      <w:r w:rsidR="00F87CC1">
        <w:rPr>
          <w:b w:val="0"/>
          <w:u w:val="single"/>
        </w:rPr>
        <w:t>10:50-11:05</w:t>
      </w:r>
      <w:r w:rsidRPr="007626A0">
        <w:rPr>
          <w:b w:val="0"/>
          <w:u w:val="single"/>
        </w:rPr>
        <w:t>)</w:t>
      </w:r>
    </w:p>
    <w:p w:rsidR="00443CF4" w:rsidRPr="007626A0" w:rsidRDefault="00443CF4" w:rsidP="00443CF4">
      <w:pPr>
        <w:pStyle w:val="IndTextS"/>
        <w:widowControl w:val="0"/>
        <w:ind w:left="360"/>
        <w:rPr>
          <w:color w:val="000000"/>
        </w:rPr>
      </w:pPr>
      <w:r w:rsidRPr="007626A0">
        <w:rPr>
          <w:color w:val="000000"/>
        </w:rPr>
        <w:t xml:space="preserve">Mr. Jeff Whitehead, Direct Energy, will propose extension of Base Capacity.  </w:t>
      </w:r>
      <w:r w:rsidRPr="00122BE8">
        <w:rPr>
          <w:b/>
          <w:color w:val="000000"/>
        </w:rPr>
        <w:t>The committee will be asked to endorse this proposal.</w:t>
      </w:r>
    </w:p>
    <w:p w:rsidR="00443CF4" w:rsidRPr="007626A0" w:rsidRDefault="00443CF4" w:rsidP="00EB14F2">
      <w:pPr>
        <w:pStyle w:val="SecondaryHeading-Numbered"/>
        <w:numPr>
          <w:ilvl w:val="0"/>
          <w:numId w:val="2"/>
        </w:numPr>
        <w:rPr>
          <w:b w:val="0"/>
          <w:u w:val="single"/>
        </w:rPr>
      </w:pPr>
      <w:r w:rsidRPr="007626A0">
        <w:rPr>
          <w:b w:val="0"/>
          <w:u w:val="single"/>
        </w:rPr>
        <w:t>Sell Back of Excess Capacity (11:</w:t>
      </w:r>
      <w:r w:rsidR="00F87CC1">
        <w:rPr>
          <w:b w:val="0"/>
          <w:u w:val="single"/>
        </w:rPr>
        <w:t>05</w:t>
      </w:r>
      <w:r w:rsidRPr="007626A0">
        <w:rPr>
          <w:b w:val="0"/>
          <w:u w:val="single"/>
        </w:rPr>
        <w:t>-</w:t>
      </w:r>
      <w:r w:rsidR="00F87CC1">
        <w:rPr>
          <w:b w:val="0"/>
          <w:u w:val="single"/>
        </w:rPr>
        <w:t>11:20</w:t>
      </w:r>
      <w:r w:rsidRPr="007626A0">
        <w:rPr>
          <w:b w:val="0"/>
          <w:u w:val="single"/>
        </w:rPr>
        <w:t>)</w:t>
      </w:r>
    </w:p>
    <w:p w:rsidR="00443CF4" w:rsidRPr="007626A0" w:rsidRDefault="00443CF4" w:rsidP="00443CF4">
      <w:pPr>
        <w:pStyle w:val="IndTextS"/>
        <w:widowControl w:val="0"/>
        <w:ind w:left="360"/>
        <w:rPr>
          <w:color w:val="000000"/>
        </w:rPr>
      </w:pPr>
      <w:r w:rsidRPr="007626A0">
        <w:rPr>
          <w:szCs w:val="24"/>
        </w:rPr>
        <w:t>Mr. Jeff Whitehead</w:t>
      </w:r>
      <w:r w:rsidRPr="007626A0">
        <w:rPr>
          <w:color w:val="000000"/>
        </w:rPr>
        <w:t xml:space="preserve">, Direct Energy, </w:t>
      </w:r>
      <w:r w:rsidRPr="007626A0">
        <w:rPr>
          <w:szCs w:val="24"/>
        </w:rPr>
        <w:t xml:space="preserve">will present a proposed problem statement / issue charge regarding PJM’s sell back of excess capacity in Reliability Pricing Model (RPM) Incremental Auctions.  </w:t>
      </w:r>
      <w:r w:rsidRPr="00122BE8">
        <w:rPr>
          <w:b/>
          <w:color w:val="000000"/>
        </w:rPr>
        <w:t xml:space="preserve">The committee will be asked to approve the proposed </w:t>
      </w:r>
      <w:r w:rsidRPr="00122BE8">
        <w:rPr>
          <w:b/>
          <w:szCs w:val="24"/>
        </w:rPr>
        <w:t>problem statement / issue charge</w:t>
      </w:r>
      <w:r w:rsidRPr="00122BE8">
        <w:rPr>
          <w:b/>
          <w:color w:val="000000"/>
        </w:rPr>
        <w:t>.</w:t>
      </w:r>
    </w:p>
    <w:p w:rsidR="00443CF4" w:rsidRPr="007626A0" w:rsidRDefault="00443CF4" w:rsidP="00EB14F2">
      <w:pPr>
        <w:pStyle w:val="SecondaryHeading-Numbered"/>
        <w:numPr>
          <w:ilvl w:val="0"/>
          <w:numId w:val="2"/>
        </w:numPr>
        <w:rPr>
          <w:b w:val="0"/>
          <w:szCs w:val="24"/>
          <w:u w:val="single"/>
        </w:rPr>
      </w:pPr>
      <w:r w:rsidRPr="007626A0">
        <w:rPr>
          <w:b w:val="0"/>
          <w:szCs w:val="24"/>
          <w:u w:val="single"/>
        </w:rPr>
        <w:t>Combined Cycle Modelling Problem Statement (</w:t>
      </w:r>
      <w:r w:rsidR="00F87CC1">
        <w:rPr>
          <w:b w:val="0"/>
          <w:u w:val="single"/>
        </w:rPr>
        <w:t>11:20-11:35</w:t>
      </w:r>
      <w:r w:rsidRPr="007626A0">
        <w:rPr>
          <w:b w:val="0"/>
          <w:szCs w:val="24"/>
          <w:u w:val="single"/>
        </w:rPr>
        <w:t>)</w:t>
      </w:r>
    </w:p>
    <w:p w:rsidR="00443CF4" w:rsidRPr="007626A0" w:rsidRDefault="00443CF4" w:rsidP="00443CF4">
      <w:pPr>
        <w:pStyle w:val="SecondaryHeading-Numbered"/>
        <w:spacing w:after="240"/>
        <w:ind w:left="360"/>
        <w:rPr>
          <w:b w:val="0"/>
        </w:rPr>
      </w:pPr>
      <w:r w:rsidRPr="007626A0">
        <w:rPr>
          <w:b w:val="0"/>
        </w:rPr>
        <w:t>Mr. Bob O’Connell, PPGI Fund A/B Development, LLC, will discuss the activities of the Combined Cycle User Group, and will present a proposed problem statement / issue charge regarding Combined Cycle unit modelling</w:t>
      </w:r>
      <w:r w:rsidRPr="00122BE8">
        <w:t>.  The committee will be asked to approve the proposed problem statement / issue charge.</w:t>
      </w:r>
    </w:p>
    <w:p w:rsidR="00443CF4" w:rsidRPr="007626A0" w:rsidRDefault="00443CF4" w:rsidP="00EB14F2">
      <w:pPr>
        <w:pStyle w:val="SecondaryHeading-Numbered"/>
        <w:numPr>
          <w:ilvl w:val="0"/>
          <w:numId w:val="2"/>
        </w:numPr>
        <w:rPr>
          <w:b w:val="0"/>
          <w:szCs w:val="24"/>
          <w:u w:val="single"/>
        </w:rPr>
      </w:pPr>
      <w:r w:rsidRPr="007626A0">
        <w:rPr>
          <w:b w:val="0"/>
          <w:szCs w:val="24"/>
          <w:u w:val="single"/>
        </w:rPr>
        <w:t>Winter Season Resource Adequacy and Capacity Requirements (</w:t>
      </w:r>
      <w:r w:rsidR="00F87CC1">
        <w:rPr>
          <w:b w:val="0"/>
          <w:szCs w:val="24"/>
          <w:u w:val="single"/>
        </w:rPr>
        <w:t>11:35-11:50</w:t>
      </w:r>
      <w:r w:rsidRPr="007626A0">
        <w:rPr>
          <w:b w:val="0"/>
          <w:szCs w:val="24"/>
          <w:u w:val="single"/>
        </w:rPr>
        <w:t>)</w:t>
      </w:r>
    </w:p>
    <w:p w:rsidR="00443CF4" w:rsidRPr="007626A0" w:rsidRDefault="00443CF4" w:rsidP="00443CF4">
      <w:pPr>
        <w:pStyle w:val="SecondaryHeading-Numbered"/>
        <w:spacing w:after="240"/>
        <w:ind w:left="360"/>
        <w:rPr>
          <w:b w:val="0"/>
        </w:rPr>
      </w:pPr>
      <w:r w:rsidRPr="007626A0">
        <w:rPr>
          <w:b w:val="0"/>
        </w:rPr>
        <w:t xml:space="preserve">Mr. Jim Wilson, on behalf of </w:t>
      </w:r>
      <w:r>
        <w:rPr>
          <w:b w:val="0"/>
        </w:rPr>
        <w:t>The MD Office of the Peoples’ Counsel</w:t>
      </w:r>
      <w:r w:rsidRPr="007626A0">
        <w:rPr>
          <w:b w:val="0"/>
        </w:rPr>
        <w:t xml:space="preserve">, will present a proposed problem statement / issue charge regarding Winter Season Resource Adequacy and Capacity Requirements.  </w:t>
      </w:r>
      <w:r w:rsidRPr="00122BE8">
        <w:t>The committee will be asked to approve the proposed problem statement / issue charge.</w:t>
      </w:r>
    </w:p>
    <w:p w:rsidR="00443CF4" w:rsidRPr="007626A0" w:rsidRDefault="00443CF4" w:rsidP="00EB14F2">
      <w:pPr>
        <w:pStyle w:val="SecondaryHeading-Numbered"/>
        <w:numPr>
          <w:ilvl w:val="0"/>
          <w:numId w:val="2"/>
        </w:numPr>
        <w:rPr>
          <w:b w:val="0"/>
          <w:u w:val="single"/>
        </w:rPr>
      </w:pPr>
      <w:r w:rsidRPr="007626A0">
        <w:rPr>
          <w:b w:val="0"/>
          <w:u w:val="single"/>
        </w:rPr>
        <w:t>Pumped Hydro Storage (</w:t>
      </w:r>
      <w:r w:rsidR="00F87CC1">
        <w:rPr>
          <w:b w:val="0"/>
          <w:u w:val="single"/>
        </w:rPr>
        <w:t>11:50-12:00</w:t>
      </w:r>
      <w:r w:rsidRPr="007626A0">
        <w:rPr>
          <w:b w:val="0"/>
          <w:u w:val="single"/>
        </w:rPr>
        <w:t>)</w:t>
      </w:r>
    </w:p>
    <w:p w:rsidR="00443CF4" w:rsidRDefault="00443CF4" w:rsidP="00443CF4">
      <w:pPr>
        <w:spacing w:after="240" w:line="240" w:lineRule="auto"/>
        <w:ind w:left="360"/>
        <w:rPr>
          <w:rFonts w:ascii="Arial Narrow" w:eastAsia="Times New Roman" w:hAnsi="Arial Narrow" w:cs="Times New Roman"/>
          <w:sz w:val="24"/>
          <w:szCs w:val="20"/>
        </w:rPr>
      </w:pPr>
      <w:r w:rsidRPr="007626A0">
        <w:rPr>
          <w:rFonts w:ascii="Arial Narrow" w:eastAsia="Times New Roman" w:hAnsi="Arial Narrow" w:cs="Times New Roman"/>
          <w:sz w:val="24"/>
          <w:szCs w:val="20"/>
        </w:rPr>
        <w:t xml:space="preserve">Mr. Steve Shparber will present proposed Tariff, and Operating Agreement revisions related to pumped hydro storage developed by the GDECS.  </w:t>
      </w:r>
      <w:r w:rsidRPr="00122BE8">
        <w:rPr>
          <w:rFonts w:ascii="Arial Narrow" w:eastAsia="Times New Roman" w:hAnsi="Arial Narrow" w:cs="Times New Roman"/>
          <w:b/>
          <w:sz w:val="24"/>
          <w:szCs w:val="20"/>
        </w:rPr>
        <w:t>The Committee will be asked to endorse these proposed revisions.</w:t>
      </w:r>
    </w:p>
    <w:p w:rsidR="00443CF4" w:rsidRPr="00DF548C" w:rsidRDefault="00443CF4" w:rsidP="00EB14F2">
      <w:pPr>
        <w:pStyle w:val="SecondaryHeading-Numbered"/>
        <w:numPr>
          <w:ilvl w:val="0"/>
          <w:numId w:val="2"/>
        </w:numPr>
        <w:rPr>
          <w:b w:val="0"/>
          <w:u w:val="single"/>
        </w:rPr>
      </w:pPr>
      <w:r w:rsidRPr="00DF548C">
        <w:rPr>
          <w:b w:val="0"/>
          <w:u w:val="single"/>
        </w:rPr>
        <w:lastRenderedPageBreak/>
        <w:t>Replacement of Capacity Obligations</w:t>
      </w:r>
      <w:r w:rsidR="0076331B">
        <w:rPr>
          <w:b w:val="0"/>
          <w:u w:val="single"/>
        </w:rPr>
        <w:t xml:space="preserve"> (12:</w:t>
      </w:r>
      <w:r w:rsidR="00F87CC1">
        <w:rPr>
          <w:b w:val="0"/>
          <w:u w:val="single"/>
        </w:rPr>
        <w:t>00</w:t>
      </w:r>
      <w:r w:rsidR="0076331B">
        <w:rPr>
          <w:b w:val="0"/>
          <w:u w:val="single"/>
        </w:rPr>
        <w:t>-1</w:t>
      </w:r>
      <w:r w:rsidR="00F87CC1">
        <w:rPr>
          <w:b w:val="0"/>
          <w:u w:val="single"/>
        </w:rPr>
        <w:t>2</w:t>
      </w:r>
      <w:r w:rsidR="0076331B">
        <w:rPr>
          <w:b w:val="0"/>
          <w:u w:val="single"/>
        </w:rPr>
        <w:t>:</w:t>
      </w:r>
      <w:r w:rsidR="00F87CC1">
        <w:rPr>
          <w:b w:val="0"/>
          <w:u w:val="single"/>
        </w:rPr>
        <w:t>15</w:t>
      </w:r>
      <w:r w:rsidR="0076331B">
        <w:rPr>
          <w:b w:val="0"/>
          <w:u w:val="single"/>
        </w:rPr>
        <w:t>)</w:t>
      </w:r>
    </w:p>
    <w:p w:rsidR="00443CF4" w:rsidRDefault="00443CF4" w:rsidP="00441925">
      <w:pPr>
        <w:pStyle w:val="IndTextS"/>
        <w:widowControl w:val="0"/>
        <w:ind w:left="360"/>
        <w:rPr>
          <w:b/>
          <w:szCs w:val="24"/>
        </w:rPr>
      </w:pPr>
      <w:r w:rsidRPr="007626A0">
        <w:rPr>
          <w:szCs w:val="24"/>
        </w:rPr>
        <w:t xml:space="preserve">Mr. Barry Trayers, CitiGroup Energy Inc., will present proposed revisions to Manual 18: Capacity Market regarding the immediate replacement of capacity obligations.  </w:t>
      </w:r>
      <w:r w:rsidRPr="00122BE8">
        <w:rPr>
          <w:b/>
          <w:szCs w:val="24"/>
        </w:rPr>
        <w:t>The committee will be asked to endorse these proposed revisions.</w:t>
      </w:r>
    </w:p>
    <w:p w:rsidR="006407C5" w:rsidRPr="007626A0" w:rsidRDefault="006407C5" w:rsidP="006407C5">
      <w:pPr>
        <w:pStyle w:val="PrimaryHeading"/>
      </w:pPr>
      <w:r w:rsidRPr="007626A0">
        <w:t>First Readings (</w:t>
      </w:r>
      <w:r w:rsidR="0076331B">
        <w:t>1:</w:t>
      </w:r>
      <w:r w:rsidR="00F87CC1">
        <w:t>00</w:t>
      </w:r>
      <w:r w:rsidR="005A1875" w:rsidRPr="007626A0">
        <w:t>-</w:t>
      </w:r>
      <w:r w:rsidR="0041377B">
        <w:t>2:</w:t>
      </w:r>
      <w:r w:rsidR="00F87CC1">
        <w:t>0</w:t>
      </w:r>
      <w:r w:rsidR="0041377B">
        <w:t>0</w:t>
      </w:r>
      <w:r w:rsidRPr="007626A0">
        <w:t>)</w:t>
      </w:r>
    </w:p>
    <w:p w:rsidR="00470009" w:rsidRPr="00470009" w:rsidRDefault="00470009" w:rsidP="00EB14F2">
      <w:pPr>
        <w:pStyle w:val="SecondaryHeading-Numbered"/>
        <w:numPr>
          <w:ilvl w:val="0"/>
          <w:numId w:val="2"/>
        </w:numPr>
        <w:rPr>
          <w:b w:val="0"/>
          <w:u w:val="single"/>
        </w:rPr>
      </w:pPr>
      <w:r w:rsidRPr="00470009">
        <w:rPr>
          <w:b w:val="0"/>
          <w:u w:val="single"/>
        </w:rPr>
        <w:t>Residual ARR Enhancements (1</w:t>
      </w:r>
      <w:r w:rsidR="0076331B">
        <w:rPr>
          <w:b w:val="0"/>
          <w:u w:val="single"/>
        </w:rPr>
        <w:t>:</w:t>
      </w:r>
      <w:r w:rsidR="00F87CC1">
        <w:rPr>
          <w:b w:val="0"/>
          <w:u w:val="single"/>
        </w:rPr>
        <w:t>00</w:t>
      </w:r>
      <w:r w:rsidRPr="00470009">
        <w:rPr>
          <w:b w:val="0"/>
          <w:u w:val="single"/>
        </w:rPr>
        <w:t>-1:</w:t>
      </w:r>
      <w:r w:rsidR="00F87CC1">
        <w:rPr>
          <w:b w:val="0"/>
          <w:u w:val="single"/>
        </w:rPr>
        <w:t>15</w:t>
      </w:r>
      <w:r w:rsidRPr="00470009">
        <w:rPr>
          <w:b w:val="0"/>
          <w:u w:val="single"/>
        </w:rPr>
        <w:t>)</w:t>
      </w:r>
    </w:p>
    <w:p w:rsidR="00443CF4" w:rsidRPr="00470009" w:rsidRDefault="00470009" w:rsidP="00470009">
      <w:pPr>
        <w:pStyle w:val="IndTextS"/>
        <w:widowControl w:val="0"/>
        <w:spacing w:after="120"/>
        <w:ind w:left="360"/>
        <w:rPr>
          <w:szCs w:val="24"/>
        </w:rPr>
      </w:pPr>
      <w:r>
        <w:rPr>
          <w:szCs w:val="24"/>
        </w:rPr>
        <w:t>Mr. Brian Chmielewski will present the proposed solution to the Residual ARR Enhancements issue.  The committee will be asked to endorse this package at its next meeting.</w:t>
      </w:r>
    </w:p>
    <w:p w:rsidR="003F4D5E" w:rsidRDefault="003F4D5E" w:rsidP="0041377B">
      <w:pPr>
        <w:pStyle w:val="SecondaryHeading-Numbered"/>
        <w:numPr>
          <w:ilvl w:val="0"/>
          <w:numId w:val="2"/>
        </w:numPr>
        <w:spacing w:before="240"/>
        <w:rPr>
          <w:b w:val="0"/>
          <w:u w:val="single"/>
        </w:rPr>
      </w:pPr>
      <w:r>
        <w:rPr>
          <w:b w:val="0"/>
          <w:u w:val="single"/>
        </w:rPr>
        <w:t>Distributed Energy Resources</w:t>
      </w:r>
      <w:r w:rsidR="0041377B">
        <w:rPr>
          <w:b w:val="0"/>
          <w:u w:val="single"/>
        </w:rPr>
        <w:t xml:space="preserve"> (1:</w:t>
      </w:r>
      <w:r w:rsidR="00F87CC1">
        <w:rPr>
          <w:b w:val="0"/>
          <w:u w:val="single"/>
        </w:rPr>
        <w:t>1</w:t>
      </w:r>
      <w:r w:rsidR="0041377B">
        <w:rPr>
          <w:b w:val="0"/>
          <w:u w:val="single"/>
        </w:rPr>
        <w:t>5-</w:t>
      </w:r>
      <w:r w:rsidR="00F87CC1">
        <w:rPr>
          <w:b w:val="0"/>
          <w:u w:val="single"/>
        </w:rPr>
        <w:t>1:25</w:t>
      </w:r>
      <w:r w:rsidR="0041377B">
        <w:rPr>
          <w:b w:val="0"/>
          <w:u w:val="single"/>
        </w:rPr>
        <w:t>)</w:t>
      </w:r>
    </w:p>
    <w:p w:rsidR="003F4D5E" w:rsidRPr="003F4D5E" w:rsidRDefault="003F4D5E" w:rsidP="003F4D5E">
      <w:pPr>
        <w:pStyle w:val="NoSpacing"/>
        <w:spacing w:after="240"/>
        <w:ind w:left="360"/>
        <w:rPr>
          <w:rFonts w:ascii="Arial Narrow" w:hAnsi="Arial Narrow"/>
          <w:sz w:val="24"/>
        </w:rPr>
      </w:pPr>
      <w:r>
        <w:rPr>
          <w:rFonts w:ascii="Arial Narrow" w:hAnsi="Arial Narrow"/>
          <w:sz w:val="24"/>
        </w:rPr>
        <w:t>Mr. Dave Anders will provide an update on the progress of the Special MRC meetings on Distributed Energy Resources.</w:t>
      </w:r>
    </w:p>
    <w:p w:rsidR="00441925" w:rsidRDefault="00441925" w:rsidP="00441925">
      <w:pPr>
        <w:pStyle w:val="SecondaryHeading-Numbered"/>
        <w:numPr>
          <w:ilvl w:val="0"/>
          <w:numId w:val="2"/>
        </w:numPr>
        <w:rPr>
          <w:b w:val="0"/>
          <w:u w:val="single"/>
        </w:rPr>
      </w:pPr>
      <w:r>
        <w:rPr>
          <w:b w:val="0"/>
          <w:u w:val="single"/>
        </w:rPr>
        <w:t>FTR Undiversified Credit Adder</w:t>
      </w:r>
      <w:r w:rsidR="00F87CC1">
        <w:rPr>
          <w:b w:val="0"/>
          <w:u w:val="single"/>
        </w:rPr>
        <w:t xml:space="preserve"> (1:25-1:35)</w:t>
      </w:r>
    </w:p>
    <w:p w:rsidR="00441925" w:rsidRPr="00441925" w:rsidRDefault="00441925" w:rsidP="00441925">
      <w:pPr>
        <w:pStyle w:val="IndTextS"/>
        <w:widowControl w:val="0"/>
        <w:ind w:left="360"/>
        <w:rPr>
          <w:szCs w:val="24"/>
        </w:rPr>
      </w:pPr>
      <w:r w:rsidRPr="00441925">
        <w:rPr>
          <w:szCs w:val="24"/>
        </w:rPr>
        <w:t xml:space="preserve">Mr. Hal Loomis will present proposed revisions to the </w:t>
      </w:r>
      <w:r>
        <w:rPr>
          <w:szCs w:val="24"/>
        </w:rPr>
        <w:t>FT</w:t>
      </w:r>
      <w:r w:rsidR="00B95EBD">
        <w:rPr>
          <w:szCs w:val="24"/>
        </w:rPr>
        <w:t>R</w:t>
      </w:r>
      <w:r>
        <w:rPr>
          <w:szCs w:val="24"/>
        </w:rPr>
        <w:t xml:space="preserve"> undiversified credit adder.  The committee will be asked to endorse the proposed revisions at its next meeting.</w:t>
      </w:r>
    </w:p>
    <w:p w:rsidR="00434BE5" w:rsidRPr="007626A0" w:rsidRDefault="00434BE5" w:rsidP="00EB14F2">
      <w:pPr>
        <w:pStyle w:val="SecondaryHeading-Numbered"/>
        <w:numPr>
          <w:ilvl w:val="0"/>
          <w:numId w:val="2"/>
        </w:numPr>
        <w:rPr>
          <w:b w:val="0"/>
          <w:u w:val="single"/>
        </w:rPr>
      </w:pPr>
      <w:r w:rsidRPr="007626A0">
        <w:rPr>
          <w:b w:val="0"/>
          <w:u w:val="single"/>
        </w:rPr>
        <w:t>PJM M</w:t>
      </w:r>
      <w:r w:rsidR="00C06580" w:rsidRPr="007626A0">
        <w:rPr>
          <w:b w:val="0"/>
          <w:u w:val="single"/>
        </w:rPr>
        <w:t>anuals</w:t>
      </w:r>
      <w:r w:rsidRPr="007626A0">
        <w:rPr>
          <w:b w:val="0"/>
          <w:u w:val="single"/>
        </w:rPr>
        <w:t xml:space="preserve"> (</w:t>
      </w:r>
      <w:r w:rsidR="00F87CC1">
        <w:rPr>
          <w:b w:val="0"/>
          <w:u w:val="single"/>
        </w:rPr>
        <w:t>1:35-2:00</w:t>
      </w:r>
      <w:r w:rsidRPr="007626A0">
        <w:rPr>
          <w:b w:val="0"/>
          <w:u w:val="single"/>
        </w:rPr>
        <w:t>)</w:t>
      </w:r>
    </w:p>
    <w:p w:rsidR="00E6409B" w:rsidRPr="007626A0" w:rsidRDefault="009117E4" w:rsidP="00EB14F2">
      <w:pPr>
        <w:pStyle w:val="IndTextS"/>
        <w:widowControl w:val="0"/>
        <w:numPr>
          <w:ilvl w:val="0"/>
          <w:numId w:val="4"/>
        </w:numPr>
        <w:spacing w:after="120"/>
        <w:rPr>
          <w:szCs w:val="24"/>
        </w:rPr>
      </w:pPr>
      <w:bookmarkStart w:id="3" w:name="OLE_LINK2"/>
      <w:r w:rsidRPr="00F9631E">
        <w:rPr>
          <w:szCs w:val="24"/>
        </w:rPr>
        <w:t>Mr. Augustine Caven</w:t>
      </w:r>
      <w:r w:rsidR="00F9631E">
        <w:rPr>
          <w:szCs w:val="24"/>
        </w:rPr>
        <w:t xml:space="preserve"> </w:t>
      </w:r>
      <w:r w:rsidRPr="00F9631E">
        <w:t xml:space="preserve">will review proposed </w:t>
      </w:r>
      <w:r w:rsidR="00A219F9">
        <w:t>revisions</w:t>
      </w:r>
      <w:r w:rsidRPr="00F9631E">
        <w:t xml:space="preserve"> to Manual 10: Pre-Scheduling Operations</w:t>
      </w:r>
      <w:r w:rsidR="00E44B3F">
        <w:t xml:space="preserve"> regarding the periodic review of the manual, end of outage reporting and the 72-hour maintenance outage recall process</w:t>
      </w:r>
      <w:r w:rsidR="00E6409B" w:rsidRPr="007626A0">
        <w:rPr>
          <w:szCs w:val="24"/>
        </w:rPr>
        <w:t xml:space="preserve">.  The committee will be asked to endorse the proposed revisions at its next meeting.  </w:t>
      </w:r>
    </w:p>
    <w:p w:rsidR="00E6409B" w:rsidRPr="007626A0" w:rsidRDefault="009117E4" w:rsidP="00EB14F2">
      <w:pPr>
        <w:pStyle w:val="IndTextS"/>
        <w:widowControl w:val="0"/>
        <w:numPr>
          <w:ilvl w:val="0"/>
          <w:numId w:val="4"/>
        </w:numPr>
        <w:spacing w:after="120"/>
        <w:rPr>
          <w:szCs w:val="24"/>
        </w:rPr>
      </w:pPr>
      <w:r w:rsidRPr="00F9631E">
        <w:rPr>
          <w:szCs w:val="24"/>
        </w:rPr>
        <w:t xml:space="preserve">Mr. Chris Pilong </w:t>
      </w:r>
      <w:r w:rsidRPr="00F9631E">
        <w:t>will review proposed changes to Manual 13: Emergency Operations</w:t>
      </w:r>
      <w:r w:rsidR="00E6409B" w:rsidRPr="007626A0">
        <w:rPr>
          <w:szCs w:val="24"/>
        </w:rPr>
        <w:t xml:space="preserve">.  The committee will be asked to endorse the proposed revisions at its next meeting.  </w:t>
      </w:r>
    </w:p>
    <w:p w:rsidR="00A219F9" w:rsidRPr="007626A0" w:rsidRDefault="00A219F9" w:rsidP="00EB14F2">
      <w:pPr>
        <w:pStyle w:val="IndTextS"/>
        <w:widowControl w:val="0"/>
        <w:numPr>
          <w:ilvl w:val="0"/>
          <w:numId w:val="4"/>
        </w:numPr>
        <w:spacing w:after="120"/>
        <w:rPr>
          <w:szCs w:val="24"/>
        </w:rPr>
      </w:pPr>
      <w:r w:rsidRPr="00F9631E">
        <w:t xml:space="preserve">Ms. Sue Glatz will present </w:t>
      </w:r>
      <w:r>
        <w:t>proposed revisions</w:t>
      </w:r>
      <w:r w:rsidRPr="00F9631E">
        <w:t xml:space="preserve"> </w:t>
      </w:r>
      <w:r>
        <w:t xml:space="preserve">to Section 6.1.6 of Manual 14C: </w:t>
      </w:r>
      <w:r w:rsidRPr="00F9631E">
        <w:t>Generation and Transmission Inter</w:t>
      </w:r>
      <w:r>
        <w:t>connection Facility Construction</w:t>
      </w:r>
      <w:r w:rsidRPr="007626A0">
        <w:rPr>
          <w:szCs w:val="24"/>
        </w:rPr>
        <w:t>.  The committee will be asked to endorse the proposed revisions at its next meeting.</w:t>
      </w:r>
    </w:p>
    <w:p w:rsidR="00E6409B" w:rsidRPr="007626A0" w:rsidRDefault="009117E4" w:rsidP="00EB14F2">
      <w:pPr>
        <w:pStyle w:val="IndTextS"/>
        <w:widowControl w:val="0"/>
        <w:numPr>
          <w:ilvl w:val="0"/>
          <w:numId w:val="4"/>
        </w:numPr>
        <w:rPr>
          <w:szCs w:val="24"/>
        </w:rPr>
      </w:pPr>
      <w:r w:rsidRPr="00F9631E">
        <w:t xml:space="preserve">Mr. Augustine Caven will review proposed </w:t>
      </w:r>
      <w:r w:rsidR="00A219F9">
        <w:t>revisions</w:t>
      </w:r>
      <w:r w:rsidRPr="00F9631E">
        <w:t xml:space="preserve"> to Manual 14D: Generator Operational Requirements</w:t>
      </w:r>
      <w:r w:rsidR="00E44B3F">
        <w:t xml:space="preserve"> regarding fuel limitation reporting</w:t>
      </w:r>
      <w:r w:rsidRPr="00F9631E">
        <w:t xml:space="preserve">.  </w:t>
      </w:r>
      <w:r w:rsidR="00E6409B" w:rsidRPr="007626A0">
        <w:rPr>
          <w:szCs w:val="24"/>
        </w:rPr>
        <w:t xml:space="preserve">The committee will be asked to endorse the proposed revisions at its next meeting.  </w:t>
      </w:r>
    </w:p>
    <w:p w:rsidR="00814766" w:rsidRPr="007626A0" w:rsidRDefault="00814766" w:rsidP="00814766">
      <w:pPr>
        <w:pStyle w:val="PrimaryHeading"/>
        <w:jc w:val="both"/>
      </w:pPr>
      <w:r w:rsidRPr="007626A0">
        <w:t>Informational Updates (</w:t>
      </w:r>
      <w:r w:rsidR="0041377B">
        <w:t>2:</w:t>
      </w:r>
      <w:r w:rsidR="00F87CC1">
        <w:t>0</w:t>
      </w:r>
      <w:r w:rsidR="0041377B">
        <w:t>0-2:</w:t>
      </w:r>
      <w:r w:rsidR="00F87CC1">
        <w:t>0</w:t>
      </w:r>
      <w:r w:rsidR="0041377B">
        <w:t>0)</w:t>
      </w:r>
    </w:p>
    <w:p w:rsidR="00443CF4" w:rsidRPr="00EB14F2" w:rsidRDefault="00EB14F2" w:rsidP="00EB14F2">
      <w:pPr>
        <w:pStyle w:val="IndTextS"/>
        <w:widowControl w:val="0"/>
        <w:ind w:left="360"/>
        <w:rPr>
          <w:szCs w:val="24"/>
        </w:rPr>
      </w:pPr>
      <w:r w:rsidRPr="00EB14F2">
        <w:rPr>
          <w:szCs w:val="24"/>
        </w:rPr>
        <w:t>None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2B2F98" w:rsidP="00F87CC1">
            <w:pPr>
              <w:pStyle w:val="PrimaryHeading"/>
            </w:pPr>
            <w:r w:rsidRPr="004456E4">
              <w:t>Future Agenda Items (</w:t>
            </w:r>
            <w:r w:rsidR="0041377B">
              <w:t>2:</w:t>
            </w:r>
            <w:r w:rsidR="00F87CC1">
              <w:t>0</w:t>
            </w:r>
            <w:r w:rsidR="0041377B">
              <w:t>0</w:t>
            </w:r>
            <w:r w:rsidR="00094802">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lastRenderedPageBreak/>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162849" w:rsidRPr="003B3338" w:rsidTr="00652197">
        <w:tc>
          <w:tcPr>
            <w:tcW w:w="2790" w:type="dxa"/>
            <w:tcBorders>
              <w:top w:val="nil"/>
              <w:left w:val="nil"/>
              <w:bottom w:val="nil"/>
              <w:right w:val="nil"/>
            </w:tcBorders>
            <w:shd w:val="clear" w:color="auto" w:fill="auto"/>
          </w:tcPr>
          <w:p w:rsidR="00162849" w:rsidRPr="003B3338" w:rsidRDefault="00162849" w:rsidP="00601649">
            <w:pPr>
              <w:pStyle w:val="AttendeesList"/>
              <w:spacing w:after="0" w:line="240" w:lineRule="auto"/>
              <w:rPr>
                <w:sz w:val="20"/>
                <w:szCs w:val="20"/>
              </w:rPr>
            </w:pPr>
            <w:r>
              <w:rPr>
                <w:sz w:val="20"/>
                <w:szCs w:val="20"/>
              </w:rPr>
              <w:t>December 22, 2016</w:t>
            </w:r>
          </w:p>
        </w:tc>
        <w:tc>
          <w:tcPr>
            <w:tcW w:w="3129" w:type="dxa"/>
            <w:tcBorders>
              <w:top w:val="nil"/>
              <w:left w:val="nil"/>
              <w:bottom w:val="nil"/>
              <w:right w:val="nil"/>
            </w:tcBorders>
            <w:shd w:val="clear" w:color="auto" w:fill="auto"/>
          </w:tcPr>
          <w:p w:rsidR="00162849" w:rsidRPr="005A6A38" w:rsidRDefault="00162849" w:rsidP="00652197">
            <w:pPr>
              <w:pStyle w:val="AttendeesList"/>
              <w:spacing w:after="0" w:line="240" w:lineRule="auto"/>
              <w:rPr>
                <w:sz w:val="20"/>
                <w:szCs w:val="20"/>
              </w:rPr>
            </w:pPr>
            <w:r>
              <w:rPr>
                <w:sz w:val="20"/>
                <w:szCs w:val="20"/>
              </w:rPr>
              <w:t>9:00 a.m.</w:t>
            </w:r>
          </w:p>
        </w:tc>
        <w:tc>
          <w:tcPr>
            <w:tcW w:w="3657" w:type="dxa"/>
            <w:tcBorders>
              <w:top w:val="nil"/>
              <w:left w:val="nil"/>
              <w:bottom w:val="nil"/>
              <w:right w:val="nil"/>
            </w:tcBorders>
            <w:shd w:val="clear" w:color="auto" w:fill="auto"/>
          </w:tcPr>
          <w:p w:rsidR="00162849" w:rsidRPr="003B3338" w:rsidRDefault="00162849" w:rsidP="00601649">
            <w:pPr>
              <w:pStyle w:val="AttendeesList"/>
              <w:spacing w:after="0" w:line="240" w:lineRule="auto"/>
              <w:rPr>
                <w:sz w:val="20"/>
                <w:szCs w:val="20"/>
              </w:rPr>
            </w:pPr>
            <w:r>
              <w:rPr>
                <w:sz w:val="20"/>
                <w:szCs w:val="20"/>
              </w:rPr>
              <w:t>Wilmington, DE</w:t>
            </w:r>
          </w:p>
        </w:tc>
      </w:tr>
      <w:tr w:rsidR="00652197" w:rsidRPr="003B3338" w:rsidTr="00652197">
        <w:tc>
          <w:tcPr>
            <w:tcW w:w="2790" w:type="dxa"/>
            <w:tcBorders>
              <w:top w:val="nil"/>
              <w:left w:val="nil"/>
              <w:bottom w:val="nil"/>
              <w:right w:val="nil"/>
            </w:tcBorders>
            <w:shd w:val="clear" w:color="auto" w:fill="auto"/>
          </w:tcPr>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652197" w:rsidRPr="003B3338" w:rsidTr="00601649">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January 26, 2017</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February 23, 2017</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March 23, 2017</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April 27, 2017</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3B3338" w:rsidRDefault="00652197" w:rsidP="00652197">
                  <w:pPr>
                    <w:pStyle w:val="AttendeesList"/>
                    <w:spacing w:after="0" w:line="240" w:lineRule="auto"/>
                    <w:rPr>
                      <w:sz w:val="20"/>
                      <w:szCs w:val="20"/>
                    </w:rPr>
                  </w:pPr>
                  <w:r w:rsidRPr="003B3338">
                    <w:rPr>
                      <w:sz w:val="20"/>
                      <w:szCs w:val="20"/>
                    </w:rPr>
                    <w:t xml:space="preserve">May </w:t>
                  </w:r>
                  <w:r>
                    <w:rPr>
                      <w:sz w:val="20"/>
                      <w:szCs w:val="20"/>
                    </w:rPr>
                    <w:t>25</w:t>
                  </w:r>
                  <w:r w:rsidRPr="003B3338">
                    <w:rPr>
                      <w:sz w:val="20"/>
                      <w:szCs w:val="20"/>
                    </w:rPr>
                    <w:t>, 2017</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Cambridge, MD</w:t>
                  </w:r>
                </w:p>
              </w:tc>
            </w:tr>
            <w:tr w:rsidR="00652197" w:rsidRPr="003B3338" w:rsidTr="00601649">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June 22, 2017</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July 27, 2017</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Pr>
                      <w:sz w:val="20"/>
                      <w:szCs w:val="20"/>
                    </w:rPr>
                    <w:t>August 24, 2017</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r>
            <w:tr w:rsidR="00652197" w:rsidRPr="003B3338" w:rsidTr="00601649">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September 28, 2017</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October 26, 2017</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November 30, 2017</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Pr>
                      <w:sz w:val="20"/>
                      <w:szCs w:val="20"/>
                    </w:rPr>
                    <w:t>December 21, 2017</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r>
          </w:tbl>
          <w:p w:rsidR="00652197" w:rsidRPr="003B3338" w:rsidRDefault="00652197" w:rsidP="00601649">
            <w:pPr>
              <w:rPr>
                <w:rFonts w:ascii="Arial Narrow" w:hAnsi="Arial Narrow"/>
                <w:sz w:val="20"/>
                <w:szCs w:val="20"/>
              </w:rPr>
            </w:pPr>
          </w:p>
        </w:tc>
        <w:tc>
          <w:tcPr>
            <w:tcW w:w="3129" w:type="dxa"/>
            <w:tcBorders>
              <w:top w:val="nil"/>
              <w:left w:val="nil"/>
              <w:bottom w:val="nil"/>
              <w:right w:val="nil"/>
            </w:tcBorders>
            <w:shd w:val="clear" w:color="auto" w:fill="auto"/>
          </w:tcPr>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652197" w:rsidRPr="003B3338" w:rsidTr="00601649">
              <w:tc>
                <w:tcPr>
                  <w:tcW w:w="3192" w:type="dxa"/>
                  <w:tcBorders>
                    <w:top w:val="nil"/>
                    <w:left w:val="nil"/>
                    <w:bottom w:val="nil"/>
                    <w:right w:val="nil"/>
                  </w:tcBorders>
                  <w:shd w:val="clear" w:color="auto" w:fill="auto"/>
                </w:tcPr>
                <w:p w:rsidR="00652197" w:rsidRPr="00652197" w:rsidRDefault="00652197" w:rsidP="00652197">
                  <w:pPr>
                    <w:pStyle w:val="AttendeesList"/>
                    <w:spacing w:after="0" w:line="240" w:lineRule="auto"/>
                    <w:rPr>
                      <w:sz w:val="20"/>
                      <w:szCs w:val="20"/>
                    </w:rPr>
                  </w:pPr>
                  <w:r w:rsidRPr="005A6A38">
                    <w:rPr>
                      <w:sz w:val="20"/>
                      <w:szCs w:val="20"/>
                    </w:rPr>
                    <w:t>9:00 a.m.</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652197" w:rsidRDefault="00652197" w:rsidP="00652197">
                  <w:pPr>
                    <w:pStyle w:val="AttendeesList"/>
                    <w:spacing w:after="0" w:line="240" w:lineRule="auto"/>
                    <w:rPr>
                      <w:sz w:val="20"/>
                      <w:szCs w:val="20"/>
                    </w:rPr>
                  </w:pPr>
                  <w:r w:rsidRPr="005A6A38">
                    <w:rPr>
                      <w:sz w:val="20"/>
                      <w:szCs w:val="20"/>
                    </w:rPr>
                    <w:t>9:00 a.m.</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652197" w:rsidRDefault="00652197" w:rsidP="00652197">
                  <w:pPr>
                    <w:pStyle w:val="AttendeesList"/>
                    <w:spacing w:after="0" w:line="240" w:lineRule="auto"/>
                    <w:rPr>
                      <w:sz w:val="20"/>
                      <w:szCs w:val="20"/>
                    </w:rPr>
                  </w:pPr>
                  <w:r w:rsidRPr="005A6A38">
                    <w:rPr>
                      <w:sz w:val="20"/>
                      <w:szCs w:val="20"/>
                    </w:rPr>
                    <w:t>9:00 a.m.</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652197" w:rsidRDefault="00652197" w:rsidP="00652197">
                  <w:pPr>
                    <w:pStyle w:val="AttendeesList"/>
                    <w:spacing w:after="0" w:line="240" w:lineRule="auto"/>
                    <w:rPr>
                      <w:sz w:val="20"/>
                      <w:szCs w:val="20"/>
                    </w:rPr>
                  </w:pPr>
                  <w:r w:rsidRPr="005A6A38">
                    <w:rPr>
                      <w:sz w:val="20"/>
                      <w:szCs w:val="20"/>
                    </w:rPr>
                    <w:t>9:00 a.m.</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652197" w:rsidRDefault="00652197" w:rsidP="00652197">
                  <w:pPr>
                    <w:pStyle w:val="AttendeesList"/>
                    <w:spacing w:after="0" w:line="240" w:lineRule="auto"/>
                    <w:rPr>
                      <w:sz w:val="20"/>
                      <w:szCs w:val="20"/>
                    </w:rPr>
                  </w:pPr>
                  <w:r w:rsidRPr="005A6A38">
                    <w:rPr>
                      <w:sz w:val="20"/>
                      <w:szCs w:val="20"/>
                    </w:rPr>
                    <w:t>9:00 a.m.</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Cambridge, MD</w:t>
                  </w:r>
                </w:p>
              </w:tc>
            </w:tr>
            <w:tr w:rsidR="00652197" w:rsidRPr="003B3338" w:rsidTr="00601649">
              <w:tc>
                <w:tcPr>
                  <w:tcW w:w="3192" w:type="dxa"/>
                  <w:tcBorders>
                    <w:top w:val="nil"/>
                    <w:left w:val="nil"/>
                    <w:bottom w:val="nil"/>
                    <w:right w:val="nil"/>
                  </w:tcBorders>
                  <w:shd w:val="clear" w:color="auto" w:fill="auto"/>
                </w:tcPr>
                <w:p w:rsidR="00652197" w:rsidRPr="00652197" w:rsidRDefault="00652197" w:rsidP="00652197">
                  <w:pPr>
                    <w:pStyle w:val="AttendeesList"/>
                    <w:spacing w:after="0" w:line="240" w:lineRule="auto"/>
                    <w:rPr>
                      <w:sz w:val="20"/>
                      <w:szCs w:val="20"/>
                    </w:rPr>
                  </w:pPr>
                  <w:r w:rsidRPr="005A6A38">
                    <w:rPr>
                      <w:sz w:val="20"/>
                      <w:szCs w:val="20"/>
                    </w:rPr>
                    <w:t>9:00 a.m.</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652197" w:rsidRDefault="00652197" w:rsidP="00652197">
                  <w:pPr>
                    <w:pStyle w:val="AttendeesList"/>
                    <w:spacing w:after="0" w:line="240" w:lineRule="auto"/>
                    <w:rPr>
                      <w:sz w:val="20"/>
                      <w:szCs w:val="20"/>
                    </w:rPr>
                  </w:pPr>
                  <w:r w:rsidRPr="005A6A38">
                    <w:rPr>
                      <w:sz w:val="20"/>
                      <w:szCs w:val="20"/>
                    </w:rPr>
                    <w:t>9:00 a.m.</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652197" w:rsidRDefault="00652197" w:rsidP="00652197">
                  <w:pPr>
                    <w:pStyle w:val="AttendeesList"/>
                    <w:spacing w:after="0" w:line="240" w:lineRule="auto"/>
                    <w:rPr>
                      <w:sz w:val="20"/>
                      <w:szCs w:val="20"/>
                    </w:rPr>
                  </w:pPr>
                  <w:r w:rsidRPr="005A6A38">
                    <w:rPr>
                      <w:sz w:val="20"/>
                      <w:szCs w:val="20"/>
                    </w:rPr>
                    <w:t>9:00 a.m.</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652197" w:rsidRDefault="00652197" w:rsidP="00652197">
                  <w:pPr>
                    <w:pStyle w:val="AttendeesList"/>
                    <w:spacing w:after="0" w:line="240" w:lineRule="auto"/>
                    <w:rPr>
                      <w:sz w:val="20"/>
                      <w:szCs w:val="20"/>
                    </w:rPr>
                  </w:pPr>
                  <w:r w:rsidRPr="005A6A38">
                    <w:rPr>
                      <w:sz w:val="20"/>
                      <w:szCs w:val="20"/>
                    </w:rPr>
                    <w:t>9:00 a.m.</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652197" w:rsidRDefault="00652197" w:rsidP="00652197">
                  <w:pPr>
                    <w:pStyle w:val="AttendeesList"/>
                    <w:spacing w:after="0" w:line="240" w:lineRule="auto"/>
                    <w:rPr>
                      <w:sz w:val="20"/>
                      <w:szCs w:val="20"/>
                    </w:rPr>
                  </w:pPr>
                  <w:r w:rsidRPr="005A6A38">
                    <w:rPr>
                      <w:sz w:val="20"/>
                      <w:szCs w:val="20"/>
                    </w:rPr>
                    <w:t>9:00 a.m.</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652197" w:rsidRDefault="00652197" w:rsidP="00601649">
                  <w:pPr>
                    <w:pStyle w:val="AttendeesList"/>
                    <w:spacing w:after="0" w:line="240" w:lineRule="auto"/>
                    <w:rPr>
                      <w:sz w:val="20"/>
                      <w:szCs w:val="20"/>
                    </w:rPr>
                  </w:pPr>
                  <w:r w:rsidRPr="005A6A38">
                    <w:rPr>
                      <w:sz w:val="20"/>
                      <w:szCs w:val="20"/>
                    </w:rPr>
                    <w:t>9:00 a.m.</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shd w:val="clear" w:color="auto" w:fill="auto"/>
                </w:tcPr>
                <w:p w:rsidR="00652197" w:rsidRPr="00652197" w:rsidRDefault="00652197" w:rsidP="00601649">
                  <w:pPr>
                    <w:pStyle w:val="AttendeesList"/>
                    <w:spacing w:after="0" w:line="240" w:lineRule="auto"/>
                    <w:rPr>
                      <w:sz w:val="20"/>
                      <w:szCs w:val="20"/>
                    </w:rPr>
                  </w:pPr>
                  <w:r w:rsidRPr="005A6A38">
                    <w:rPr>
                      <w:sz w:val="20"/>
                      <w:szCs w:val="20"/>
                    </w:rPr>
                    <w:t>9:00 a.m.</w:t>
                  </w: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bl>
          <w:p w:rsidR="00652197" w:rsidRPr="003B3338" w:rsidRDefault="00652197" w:rsidP="00601649">
            <w:pPr>
              <w:rPr>
                <w:rFonts w:ascii="Arial Narrow" w:hAnsi="Arial Narrow"/>
                <w:sz w:val="20"/>
                <w:szCs w:val="20"/>
              </w:rPr>
            </w:pPr>
          </w:p>
        </w:tc>
        <w:tc>
          <w:tcPr>
            <w:tcW w:w="3657" w:type="dxa"/>
            <w:tcBorders>
              <w:top w:val="nil"/>
              <w:left w:val="nil"/>
              <w:bottom w:val="nil"/>
              <w:right w:val="nil"/>
            </w:tcBorders>
            <w:shd w:val="clear" w:color="auto" w:fill="auto"/>
          </w:tcPr>
          <w:tbl>
            <w:tblPr>
              <w:tblW w:w="1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2586"/>
              <w:gridCol w:w="3690"/>
            </w:tblGrid>
            <w:tr w:rsidR="00652197" w:rsidRPr="003B3338" w:rsidTr="00601649">
              <w:tc>
                <w:tcPr>
                  <w:tcW w:w="3192" w:type="dxa"/>
                  <w:tcBorders>
                    <w:top w:val="nil"/>
                    <w:left w:val="nil"/>
                    <w:bottom w:val="nil"/>
                    <w:right w:val="nil"/>
                  </w:tcBorders>
                </w:tcPr>
                <w:p w:rsidR="00652197" w:rsidRPr="003B3338" w:rsidRDefault="00652197" w:rsidP="00601649">
                  <w:pPr>
                    <w:pStyle w:val="AttendeesList"/>
                    <w:spacing w:after="0" w:line="240" w:lineRule="auto"/>
                    <w:rPr>
                      <w:sz w:val="20"/>
                      <w:szCs w:val="20"/>
                    </w:rPr>
                  </w:pPr>
                  <w:r w:rsidRPr="003B3338">
                    <w:rPr>
                      <w:sz w:val="20"/>
                      <w:szCs w:val="20"/>
                    </w:rPr>
                    <w:t>Wilmington, DE</w:t>
                  </w:r>
                </w:p>
              </w:tc>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tcPr>
                <w:p w:rsidR="00652197" w:rsidRPr="003B3338" w:rsidRDefault="00652197" w:rsidP="00601649">
                  <w:pPr>
                    <w:pStyle w:val="AttendeesList"/>
                    <w:spacing w:after="0" w:line="240" w:lineRule="auto"/>
                    <w:rPr>
                      <w:sz w:val="20"/>
                      <w:szCs w:val="20"/>
                    </w:rPr>
                  </w:pPr>
                  <w:r w:rsidRPr="003B3338">
                    <w:rPr>
                      <w:sz w:val="20"/>
                      <w:szCs w:val="20"/>
                    </w:rPr>
                    <w:t>Wilmington, DE</w:t>
                  </w:r>
                </w:p>
              </w:tc>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tcPr>
                <w:p w:rsidR="00652197" w:rsidRPr="003B3338" w:rsidRDefault="00652197" w:rsidP="00601649">
                  <w:pPr>
                    <w:pStyle w:val="AttendeesList"/>
                    <w:spacing w:after="0" w:line="240" w:lineRule="auto"/>
                    <w:rPr>
                      <w:sz w:val="20"/>
                      <w:szCs w:val="20"/>
                    </w:rPr>
                  </w:pPr>
                  <w:r w:rsidRPr="003B3338">
                    <w:rPr>
                      <w:sz w:val="20"/>
                      <w:szCs w:val="20"/>
                    </w:rPr>
                    <w:t>Wilmington, DE</w:t>
                  </w:r>
                </w:p>
              </w:tc>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tcPr>
                <w:p w:rsidR="00652197" w:rsidRPr="003B3338" w:rsidRDefault="00652197" w:rsidP="00601649">
                  <w:pPr>
                    <w:pStyle w:val="AttendeesList"/>
                    <w:spacing w:after="0" w:line="240" w:lineRule="auto"/>
                    <w:rPr>
                      <w:sz w:val="20"/>
                      <w:szCs w:val="20"/>
                    </w:rPr>
                  </w:pPr>
                  <w:r w:rsidRPr="003B3338">
                    <w:rPr>
                      <w:sz w:val="20"/>
                      <w:szCs w:val="20"/>
                    </w:rPr>
                    <w:t>Wilmington, DE</w:t>
                  </w:r>
                </w:p>
              </w:tc>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tcPr>
                <w:p w:rsidR="00652197" w:rsidRPr="003B3338" w:rsidRDefault="00652197" w:rsidP="00601649">
                  <w:pPr>
                    <w:pStyle w:val="AttendeesList"/>
                    <w:spacing w:after="0" w:line="240" w:lineRule="auto"/>
                    <w:rPr>
                      <w:sz w:val="20"/>
                      <w:szCs w:val="20"/>
                    </w:rPr>
                  </w:pPr>
                  <w:r w:rsidRPr="003B3338">
                    <w:rPr>
                      <w:sz w:val="20"/>
                      <w:szCs w:val="20"/>
                    </w:rPr>
                    <w:t>Wilmington, DE</w:t>
                  </w:r>
                </w:p>
              </w:tc>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Cambridge, MD</w:t>
                  </w:r>
                </w:p>
              </w:tc>
            </w:tr>
            <w:tr w:rsidR="00652197" w:rsidRPr="003B3338" w:rsidTr="00601649">
              <w:tc>
                <w:tcPr>
                  <w:tcW w:w="3192" w:type="dxa"/>
                  <w:tcBorders>
                    <w:top w:val="nil"/>
                    <w:left w:val="nil"/>
                    <w:bottom w:val="nil"/>
                    <w:right w:val="nil"/>
                  </w:tcBorders>
                </w:tcPr>
                <w:p w:rsidR="00652197" w:rsidRPr="003B3338" w:rsidRDefault="00652197" w:rsidP="00601649">
                  <w:pPr>
                    <w:pStyle w:val="AttendeesList"/>
                    <w:spacing w:after="0" w:line="240" w:lineRule="auto"/>
                    <w:rPr>
                      <w:sz w:val="20"/>
                      <w:szCs w:val="20"/>
                    </w:rPr>
                  </w:pPr>
                  <w:r w:rsidRPr="003B3338">
                    <w:rPr>
                      <w:sz w:val="20"/>
                      <w:szCs w:val="20"/>
                    </w:rPr>
                    <w:t>Wilmington, DE</w:t>
                  </w:r>
                </w:p>
              </w:tc>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tcPr>
                <w:p w:rsidR="00652197" w:rsidRPr="003B3338" w:rsidRDefault="00652197" w:rsidP="00601649">
                  <w:pPr>
                    <w:pStyle w:val="AttendeesList"/>
                    <w:spacing w:after="0" w:line="240" w:lineRule="auto"/>
                    <w:rPr>
                      <w:sz w:val="20"/>
                      <w:szCs w:val="20"/>
                    </w:rPr>
                  </w:pPr>
                  <w:r w:rsidRPr="003B3338">
                    <w:rPr>
                      <w:sz w:val="20"/>
                      <w:szCs w:val="20"/>
                    </w:rPr>
                    <w:t>Wilmington, DE</w:t>
                  </w:r>
                </w:p>
              </w:tc>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tcPr>
                <w:p w:rsidR="00652197" w:rsidRPr="003B3338" w:rsidRDefault="00652197" w:rsidP="00601649">
                  <w:pPr>
                    <w:pStyle w:val="AttendeesList"/>
                    <w:spacing w:after="0" w:line="240" w:lineRule="auto"/>
                    <w:rPr>
                      <w:sz w:val="20"/>
                      <w:szCs w:val="20"/>
                    </w:rPr>
                  </w:pPr>
                  <w:r w:rsidRPr="003B3338">
                    <w:rPr>
                      <w:sz w:val="20"/>
                      <w:szCs w:val="20"/>
                    </w:rPr>
                    <w:t>Wilmington, DE</w:t>
                  </w:r>
                </w:p>
              </w:tc>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tcPr>
                <w:p w:rsidR="00652197" w:rsidRPr="003B3338" w:rsidRDefault="00652197" w:rsidP="00601649">
                  <w:pPr>
                    <w:pStyle w:val="AttendeesList"/>
                    <w:spacing w:after="0" w:line="240" w:lineRule="auto"/>
                    <w:rPr>
                      <w:sz w:val="20"/>
                      <w:szCs w:val="20"/>
                    </w:rPr>
                  </w:pPr>
                  <w:r w:rsidRPr="003B3338">
                    <w:rPr>
                      <w:sz w:val="20"/>
                      <w:szCs w:val="20"/>
                    </w:rPr>
                    <w:t>Wilmington, DE</w:t>
                  </w:r>
                </w:p>
              </w:tc>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9:00 a.m.</w:t>
                  </w: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r w:rsidRPr="003B3338">
                    <w:rPr>
                      <w:sz w:val="20"/>
                      <w:szCs w:val="20"/>
                    </w:rPr>
                    <w:t>Wilmington, DE</w:t>
                  </w:r>
                </w:p>
              </w:tc>
            </w:tr>
            <w:tr w:rsidR="00652197" w:rsidRPr="003B3338" w:rsidTr="00601649">
              <w:tc>
                <w:tcPr>
                  <w:tcW w:w="3192" w:type="dxa"/>
                  <w:tcBorders>
                    <w:top w:val="nil"/>
                    <w:left w:val="nil"/>
                    <w:bottom w:val="nil"/>
                    <w:right w:val="nil"/>
                  </w:tcBorders>
                </w:tcPr>
                <w:p w:rsidR="00652197" w:rsidRPr="003B3338" w:rsidRDefault="00652197" w:rsidP="00601649">
                  <w:pPr>
                    <w:pStyle w:val="AttendeesList"/>
                    <w:spacing w:after="0" w:line="240" w:lineRule="auto"/>
                    <w:rPr>
                      <w:sz w:val="20"/>
                      <w:szCs w:val="20"/>
                    </w:rPr>
                  </w:pPr>
                  <w:r w:rsidRPr="003B3338">
                    <w:rPr>
                      <w:sz w:val="20"/>
                      <w:szCs w:val="20"/>
                    </w:rPr>
                    <w:t>Wilmington, DE</w:t>
                  </w:r>
                </w:p>
              </w:tc>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r>
            <w:tr w:rsidR="00652197" w:rsidRPr="003B3338" w:rsidTr="00601649">
              <w:tc>
                <w:tcPr>
                  <w:tcW w:w="3192" w:type="dxa"/>
                  <w:tcBorders>
                    <w:top w:val="nil"/>
                    <w:left w:val="nil"/>
                    <w:bottom w:val="nil"/>
                    <w:right w:val="nil"/>
                  </w:tcBorders>
                </w:tcPr>
                <w:p w:rsidR="00652197" w:rsidRPr="003B3338" w:rsidRDefault="00652197" w:rsidP="00601649">
                  <w:pPr>
                    <w:pStyle w:val="AttendeesList"/>
                    <w:spacing w:after="0" w:line="240" w:lineRule="auto"/>
                    <w:rPr>
                      <w:sz w:val="20"/>
                      <w:szCs w:val="20"/>
                    </w:rPr>
                  </w:pPr>
                  <w:r w:rsidRPr="003B3338">
                    <w:rPr>
                      <w:sz w:val="20"/>
                      <w:szCs w:val="20"/>
                    </w:rPr>
                    <w:t>Wilmington, DE</w:t>
                  </w:r>
                </w:p>
              </w:tc>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r>
            <w:tr w:rsidR="00652197" w:rsidRPr="003B3338" w:rsidTr="00601649">
              <w:tc>
                <w:tcPr>
                  <w:tcW w:w="3192" w:type="dxa"/>
                  <w:tcBorders>
                    <w:top w:val="nil"/>
                    <w:left w:val="nil"/>
                    <w:bottom w:val="nil"/>
                    <w:right w:val="nil"/>
                  </w:tcBorders>
                </w:tcPr>
                <w:p w:rsidR="00652197" w:rsidRPr="003B3338" w:rsidRDefault="00652197" w:rsidP="00601649">
                  <w:pPr>
                    <w:pStyle w:val="AttendeesList"/>
                    <w:spacing w:after="0" w:line="240" w:lineRule="auto"/>
                    <w:rPr>
                      <w:sz w:val="20"/>
                      <w:szCs w:val="20"/>
                    </w:rPr>
                  </w:pPr>
                  <w:r w:rsidRPr="003B3338">
                    <w:rPr>
                      <w:sz w:val="20"/>
                      <w:szCs w:val="20"/>
                    </w:rPr>
                    <w:t>Wilmington, DE</w:t>
                  </w:r>
                </w:p>
              </w:tc>
              <w:tc>
                <w:tcPr>
                  <w:tcW w:w="3192"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2586"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c>
                <w:tcPr>
                  <w:tcW w:w="3690" w:type="dxa"/>
                  <w:tcBorders>
                    <w:top w:val="nil"/>
                    <w:left w:val="nil"/>
                    <w:bottom w:val="nil"/>
                    <w:right w:val="nil"/>
                  </w:tcBorders>
                  <w:shd w:val="clear" w:color="auto" w:fill="auto"/>
                </w:tcPr>
                <w:p w:rsidR="00652197" w:rsidRPr="003B3338" w:rsidRDefault="00652197" w:rsidP="00601649">
                  <w:pPr>
                    <w:pStyle w:val="AttendeesList"/>
                    <w:spacing w:after="0" w:line="240" w:lineRule="auto"/>
                    <w:rPr>
                      <w:sz w:val="20"/>
                      <w:szCs w:val="20"/>
                    </w:rPr>
                  </w:pPr>
                </w:p>
              </w:tc>
            </w:tr>
          </w:tbl>
          <w:p w:rsidR="00652197" w:rsidRPr="003B3338" w:rsidRDefault="00652197" w:rsidP="00601649">
            <w:pPr>
              <w:rPr>
                <w:rFonts w:ascii="Arial Narrow" w:hAnsi="Arial Narrow"/>
                <w:sz w:val="20"/>
                <w:szCs w:val="20"/>
              </w:rPr>
            </w:pPr>
          </w:p>
        </w:tc>
      </w:tr>
    </w:tbl>
    <w:p w:rsidR="00665809" w:rsidRDefault="00665809"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Default="00A317A9"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25445F" w:rsidRDefault="00B62597" w:rsidP="0025445F">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5A1875" w:rsidRDefault="005A1875" w:rsidP="008A3507">
      <w:pPr>
        <w:pStyle w:val="DisclosureBody"/>
      </w:pPr>
    </w:p>
    <w:p w:rsidR="005A1875" w:rsidRDefault="005A1875" w:rsidP="00E81E20">
      <w:pPr>
        <w:pStyle w:val="DisclosureBody"/>
        <w:jc w:val="center"/>
      </w:pPr>
      <w:r>
        <w:rPr>
          <w:noProof/>
        </w:rPr>
        <w:lastRenderedPageBreak/>
        <w:drawing>
          <wp:inline distT="0" distB="0" distL="0" distR="0" wp14:anchorId="2CD3EDFF" wp14:editId="595E1458">
            <wp:extent cx="5305425" cy="376554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15657" cy="3772802"/>
                    </a:xfrm>
                    <a:prstGeom prst="rect">
                      <a:avLst/>
                    </a:prstGeom>
                    <a:noFill/>
                  </pic:spPr>
                </pic:pic>
              </a:graphicData>
            </a:graphic>
          </wp:inline>
        </w:drawing>
      </w:r>
    </w:p>
    <w:p w:rsidR="0057441E" w:rsidRDefault="008B1540" w:rsidP="009B536C">
      <w:pPr>
        <w:pStyle w:val="DisclosureBody"/>
      </w:pPr>
      <w:r>
        <w:t xml:space="preserve">      </w:t>
      </w:r>
      <w:r w:rsidR="005A1875">
        <w:rPr>
          <w:noProof/>
        </w:rPr>
        <w:drawing>
          <wp:inline distT="0" distB="0" distL="0" distR="0" wp14:anchorId="46D24E8A" wp14:editId="0D1BE95D">
            <wp:extent cx="6354186" cy="5905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1724" cy="592180"/>
                    </a:xfrm>
                    <a:prstGeom prst="rect">
                      <a:avLst/>
                    </a:prstGeom>
                    <a:noFill/>
                  </pic:spPr>
                </pic:pic>
              </a:graphicData>
            </a:graphic>
          </wp:inline>
        </w:drawing>
      </w:r>
    </w:p>
    <w:sectPr w:rsidR="0057441E"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7E4" w:rsidRDefault="009117E4" w:rsidP="00B62597">
      <w:pPr>
        <w:spacing w:after="0" w:line="240" w:lineRule="auto"/>
      </w:pPr>
      <w:r>
        <w:separator/>
      </w:r>
    </w:p>
  </w:endnote>
  <w:endnote w:type="continuationSeparator" w:id="0">
    <w:p w:rsidR="009117E4" w:rsidRDefault="009117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E4" w:rsidRDefault="009117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17E4" w:rsidRDefault="00911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E4" w:rsidRDefault="009117E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2178E">
      <w:rPr>
        <w:rStyle w:val="PageNumber"/>
        <w:noProof/>
      </w:rPr>
      <w:t>1</w:t>
    </w:r>
    <w:r>
      <w:rPr>
        <w:rStyle w:val="PageNumber"/>
      </w:rPr>
      <w:fldChar w:fldCharType="end"/>
    </w:r>
  </w:p>
  <w:bookmarkStart w:id="4" w:name="OLE_LINK1"/>
  <w:p w:rsidR="009117E4" w:rsidRPr="00DB29E9" w:rsidRDefault="009117E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2C6F561" wp14:editId="15C0479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16</w:t>
    </w:r>
  </w:p>
  <w:p w:rsidR="009117E4" w:rsidRDefault="00911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7E4" w:rsidRDefault="009117E4" w:rsidP="00B62597">
      <w:pPr>
        <w:spacing w:after="0" w:line="240" w:lineRule="auto"/>
      </w:pPr>
      <w:r>
        <w:separator/>
      </w:r>
    </w:p>
  </w:footnote>
  <w:footnote w:type="continuationSeparator" w:id="0">
    <w:p w:rsidR="009117E4" w:rsidRDefault="009117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E4" w:rsidRDefault="009117E4">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9117E4" w:rsidRPr="001D3B68" w:rsidRDefault="009117E4"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9117E4" w:rsidRPr="001D3B68" w:rsidRDefault="009117E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17E4" w:rsidRDefault="009117E4">
    <w:pPr>
      <w:rPr>
        <w:sz w:val="16"/>
      </w:rPr>
    </w:pPr>
  </w:p>
  <w:p w:rsidR="009117E4" w:rsidRDefault="009117E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7E2421"/>
    <w:multiLevelType w:val="hybridMultilevel"/>
    <w:tmpl w:val="C70E0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6794175"/>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71A6"/>
    <w:rsid w:val="00014275"/>
    <w:rsid w:val="000158A8"/>
    <w:rsid w:val="00031F8D"/>
    <w:rsid w:val="0003764F"/>
    <w:rsid w:val="00052AB0"/>
    <w:rsid w:val="00060EFB"/>
    <w:rsid w:val="00063B43"/>
    <w:rsid w:val="00064959"/>
    <w:rsid w:val="00067855"/>
    <w:rsid w:val="00076364"/>
    <w:rsid w:val="00081327"/>
    <w:rsid w:val="00082BB6"/>
    <w:rsid w:val="00082DB7"/>
    <w:rsid w:val="00084D58"/>
    <w:rsid w:val="00085508"/>
    <w:rsid w:val="000875E3"/>
    <w:rsid w:val="000877EE"/>
    <w:rsid w:val="000917ED"/>
    <w:rsid w:val="00094802"/>
    <w:rsid w:val="00095BF8"/>
    <w:rsid w:val="000A0C62"/>
    <w:rsid w:val="000C282A"/>
    <w:rsid w:val="000C2D06"/>
    <w:rsid w:val="000E3240"/>
    <w:rsid w:val="000E6D85"/>
    <w:rsid w:val="000E77D1"/>
    <w:rsid w:val="000F2216"/>
    <w:rsid w:val="000F3617"/>
    <w:rsid w:val="000F7DB7"/>
    <w:rsid w:val="00102BE6"/>
    <w:rsid w:val="00102CAD"/>
    <w:rsid w:val="00110041"/>
    <w:rsid w:val="00120C80"/>
    <w:rsid w:val="00122BE8"/>
    <w:rsid w:val="00123C69"/>
    <w:rsid w:val="00135245"/>
    <w:rsid w:val="00140031"/>
    <w:rsid w:val="001439A9"/>
    <w:rsid w:val="001461E4"/>
    <w:rsid w:val="0015086F"/>
    <w:rsid w:val="00151A74"/>
    <w:rsid w:val="00160D99"/>
    <w:rsid w:val="00160FC4"/>
    <w:rsid w:val="00162849"/>
    <w:rsid w:val="00170FC1"/>
    <w:rsid w:val="00174D64"/>
    <w:rsid w:val="001757B0"/>
    <w:rsid w:val="00180E53"/>
    <w:rsid w:val="001811AB"/>
    <w:rsid w:val="00182C9B"/>
    <w:rsid w:val="00195877"/>
    <w:rsid w:val="001A1661"/>
    <w:rsid w:val="001B2242"/>
    <w:rsid w:val="001C5BCF"/>
    <w:rsid w:val="001C6E7B"/>
    <w:rsid w:val="001C6F91"/>
    <w:rsid w:val="001D33BD"/>
    <w:rsid w:val="001D36B4"/>
    <w:rsid w:val="001D3B68"/>
    <w:rsid w:val="001E0283"/>
    <w:rsid w:val="001E1815"/>
    <w:rsid w:val="001F1A53"/>
    <w:rsid w:val="001F1F14"/>
    <w:rsid w:val="001F29F5"/>
    <w:rsid w:val="002037D5"/>
    <w:rsid w:val="0020588F"/>
    <w:rsid w:val="00210234"/>
    <w:rsid w:val="00220CA6"/>
    <w:rsid w:val="0022779E"/>
    <w:rsid w:val="00227A9A"/>
    <w:rsid w:val="00233858"/>
    <w:rsid w:val="002400DC"/>
    <w:rsid w:val="00243714"/>
    <w:rsid w:val="00245699"/>
    <w:rsid w:val="0025445F"/>
    <w:rsid w:val="00255B10"/>
    <w:rsid w:val="0027374F"/>
    <w:rsid w:val="00275FE2"/>
    <w:rsid w:val="00283A1D"/>
    <w:rsid w:val="002862A8"/>
    <w:rsid w:val="00293874"/>
    <w:rsid w:val="002A5B84"/>
    <w:rsid w:val="002B2F98"/>
    <w:rsid w:val="002B72AA"/>
    <w:rsid w:val="002C491A"/>
    <w:rsid w:val="002D0C53"/>
    <w:rsid w:val="002D4DF7"/>
    <w:rsid w:val="002D6DE9"/>
    <w:rsid w:val="002E1AB7"/>
    <w:rsid w:val="002E4FF5"/>
    <w:rsid w:val="002F10C4"/>
    <w:rsid w:val="002F1414"/>
    <w:rsid w:val="002F7D73"/>
    <w:rsid w:val="00300268"/>
    <w:rsid w:val="0030302C"/>
    <w:rsid w:val="0030448C"/>
    <w:rsid w:val="00305238"/>
    <w:rsid w:val="003109D2"/>
    <w:rsid w:val="003137DD"/>
    <w:rsid w:val="003274D3"/>
    <w:rsid w:val="003316EB"/>
    <w:rsid w:val="00337321"/>
    <w:rsid w:val="00340C1E"/>
    <w:rsid w:val="00342415"/>
    <w:rsid w:val="003425C0"/>
    <w:rsid w:val="00343139"/>
    <w:rsid w:val="00344D21"/>
    <w:rsid w:val="0034628A"/>
    <w:rsid w:val="00353463"/>
    <w:rsid w:val="0035364B"/>
    <w:rsid w:val="003562F3"/>
    <w:rsid w:val="00393075"/>
    <w:rsid w:val="003A4E0A"/>
    <w:rsid w:val="003B55E1"/>
    <w:rsid w:val="003B63E8"/>
    <w:rsid w:val="003C33D8"/>
    <w:rsid w:val="003C7573"/>
    <w:rsid w:val="003D7E5C"/>
    <w:rsid w:val="003E7A73"/>
    <w:rsid w:val="003F4D5E"/>
    <w:rsid w:val="0041377B"/>
    <w:rsid w:val="00422A06"/>
    <w:rsid w:val="00434BE5"/>
    <w:rsid w:val="00441925"/>
    <w:rsid w:val="00441CA3"/>
    <w:rsid w:val="00443CF4"/>
    <w:rsid w:val="004456E4"/>
    <w:rsid w:val="00460053"/>
    <w:rsid w:val="00463661"/>
    <w:rsid w:val="00467782"/>
    <w:rsid w:val="00467899"/>
    <w:rsid w:val="00470009"/>
    <w:rsid w:val="004724E4"/>
    <w:rsid w:val="0048171B"/>
    <w:rsid w:val="00486718"/>
    <w:rsid w:val="00487E57"/>
    <w:rsid w:val="00491490"/>
    <w:rsid w:val="004969FA"/>
    <w:rsid w:val="00497055"/>
    <w:rsid w:val="004B4AF5"/>
    <w:rsid w:val="004C73C7"/>
    <w:rsid w:val="004D3BB9"/>
    <w:rsid w:val="004D4D7C"/>
    <w:rsid w:val="004D5AE6"/>
    <w:rsid w:val="004E4C6C"/>
    <w:rsid w:val="004E5EB5"/>
    <w:rsid w:val="004F580D"/>
    <w:rsid w:val="004F636E"/>
    <w:rsid w:val="00507584"/>
    <w:rsid w:val="00510375"/>
    <w:rsid w:val="00522602"/>
    <w:rsid w:val="00532257"/>
    <w:rsid w:val="00536590"/>
    <w:rsid w:val="00550A01"/>
    <w:rsid w:val="0056074C"/>
    <w:rsid w:val="00564DEE"/>
    <w:rsid w:val="0057441E"/>
    <w:rsid w:val="0057779B"/>
    <w:rsid w:val="00581300"/>
    <w:rsid w:val="0059331C"/>
    <w:rsid w:val="005A0919"/>
    <w:rsid w:val="005A1875"/>
    <w:rsid w:val="005A5959"/>
    <w:rsid w:val="005B1673"/>
    <w:rsid w:val="005B2563"/>
    <w:rsid w:val="005B5002"/>
    <w:rsid w:val="005C1E53"/>
    <w:rsid w:val="005C5A70"/>
    <w:rsid w:val="005D0AF6"/>
    <w:rsid w:val="005D3D5D"/>
    <w:rsid w:val="005D6D05"/>
    <w:rsid w:val="005E09E0"/>
    <w:rsid w:val="005E58EA"/>
    <w:rsid w:val="005F1030"/>
    <w:rsid w:val="00601DB1"/>
    <w:rsid w:val="00602967"/>
    <w:rsid w:val="0060428F"/>
    <w:rsid w:val="0060638A"/>
    <w:rsid w:val="00610243"/>
    <w:rsid w:val="00624A6F"/>
    <w:rsid w:val="00632525"/>
    <w:rsid w:val="00634B3D"/>
    <w:rsid w:val="006407C5"/>
    <w:rsid w:val="0064244C"/>
    <w:rsid w:val="006450D5"/>
    <w:rsid w:val="00652197"/>
    <w:rsid w:val="00654347"/>
    <w:rsid w:val="00654AA1"/>
    <w:rsid w:val="00654D63"/>
    <w:rsid w:val="00656C72"/>
    <w:rsid w:val="00664D7A"/>
    <w:rsid w:val="00665809"/>
    <w:rsid w:val="006949F2"/>
    <w:rsid w:val="006A6924"/>
    <w:rsid w:val="006C472C"/>
    <w:rsid w:val="006C7299"/>
    <w:rsid w:val="006D1E4B"/>
    <w:rsid w:val="006D683A"/>
    <w:rsid w:val="006E4EC3"/>
    <w:rsid w:val="006F0C24"/>
    <w:rsid w:val="006F4352"/>
    <w:rsid w:val="00701906"/>
    <w:rsid w:val="00712CAA"/>
    <w:rsid w:val="00715435"/>
    <w:rsid w:val="00716A8B"/>
    <w:rsid w:val="007302E7"/>
    <w:rsid w:val="00741050"/>
    <w:rsid w:val="007412FC"/>
    <w:rsid w:val="0075074E"/>
    <w:rsid w:val="00754C6D"/>
    <w:rsid w:val="00755096"/>
    <w:rsid w:val="00760B91"/>
    <w:rsid w:val="007626A0"/>
    <w:rsid w:val="00762D75"/>
    <w:rsid w:val="0076331B"/>
    <w:rsid w:val="007652F3"/>
    <w:rsid w:val="00766D3B"/>
    <w:rsid w:val="0076713C"/>
    <w:rsid w:val="0077218B"/>
    <w:rsid w:val="00780E1F"/>
    <w:rsid w:val="00787F70"/>
    <w:rsid w:val="007A34A3"/>
    <w:rsid w:val="007A405E"/>
    <w:rsid w:val="007A482B"/>
    <w:rsid w:val="007A76DE"/>
    <w:rsid w:val="007B3336"/>
    <w:rsid w:val="007B3FC0"/>
    <w:rsid w:val="007B4ECF"/>
    <w:rsid w:val="007C01CB"/>
    <w:rsid w:val="007C5AFB"/>
    <w:rsid w:val="007D2038"/>
    <w:rsid w:val="007E6077"/>
    <w:rsid w:val="007E62ED"/>
    <w:rsid w:val="007F0F07"/>
    <w:rsid w:val="007F23A8"/>
    <w:rsid w:val="007F3E98"/>
    <w:rsid w:val="00806575"/>
    <w:rsid w:val="00812DE4"/>
    <w:rsid w:val="0081362C"/>
    <w:rsid w:val="00814766"/>
    <w:rsid w:val="00821C16"/>
    <w:rsid w:val="00823C59"/>
    <w:rsid w:val="00830950"/>
    <w:rsid w:val="00834AAC"/>
    <w:rsid w:val="00834ECD"/>
    <w:rsid w:val="00837B12"/>
    <w:rsid w:val="00853CA9"/>
    <w:rsid w:val="0086008A"/>
    <w:rsid w:val="00862D02"/>
    <w:rsid w:val="00872145"/>
    <w:rsid w:val="00872E36"/>
    <w:rsid w:val="00880595"/>
    <w:rsid w:val="00882652"/>
    <w:rsid w:val="00885448"/>
    <w:rsid w:val="0088561C"/>
    <w:rsid w:val="00890813"/>
    <w:rsid w:val="008909E0"/>
    <w:rsid w:val="00895E92"/>
    <w:rsid w:val="008970E4"/>
    <w:rsid w:val="008A3507"/>
    <w:rsid w:val="008A3A1D"/>
    <w:rsid w:val="008A480C"/>
    <w:rsid w:val="008B0731"/>
    <w:rsid w:val="008B1540"/>
    <w:rsid w:val="008B2C7D"/>
    <w:rsid w:val="008B3601"/>
    <w:rsid w:val="008C12C8"/>
    <w:rsid w:val="008C25E6"/>
    <w:rsid w:val="008C3E90"/>
    <w:rsid w:val="008C6ADE"/>
    <w:rsid w:val="008C766F"/>
    <w:rsid w:val="008D1AF9"/>
    <w:rsid w:val="008D4AF8"/>
    <w:rsid w:val="008E2B88"/>
    <w:rsid w:val="008E4286"/>
    <w:rsid w:val="008E7DC0"/>
    <w:rsid w:val="008F66BF"/>
    <w:rsid w:val="00903EF3"/>
    <w:rsid w:val="009117E4"/>
    <w:rsid w:val="0091723D"/>
    <w:rsid w:val="00917386"/>
    <w:rsid w:val="00924BCD"/>
    <w:rsid w:val="00935F28"/>
    <w:rsid w:val="009402FD"/>
    <w:rsid w:val="00942A24"/>
    <w:rsid w:val="009500F0"/>
    <w:rsid w:val="0095398D"/>
    <w:rsid w:val="00960F09"/>
    <w:rsid w:val="0096399F"/>
    <w:rsid w:val="009641A0"/>
    <w:rsid w:val="0096575E"/>
    <w:rsid w:val="009710A0"/>
    <w:rsid w:val="00977825"/>
    <w:rsid w:val="00980797"/>
    <w:rsid w:val="009825AD"/>
    <w:rsid w:val="0098422C"/>
    <w:rsid w:val="009852BD"/>
    <w:rsid w:val="009A5430"/>
    <w:rsid w:val="009B536C"/>
    <w:rsid w:val="009C7D54"/>
    <w:rsid w:val="009D415A"/>
    <w:rsid w:val="009D46EF"/>
    <w:rsid w:val="009E2A2C"/>
    <w:rsid w:val="009E365B"/>
    <w:rsid w:val="009F14A7"/>
    <w:rsid w:val="009F1A60"/>
    <w:rsid w:val="009F3B40"/>
    <w:rsid w:val="009F4FE9"/>
    <w:rsid w:val="009F6459"/>
    <w:rsid w:val="00A05391"/>
    <w:rsid w:val="00A076B0"/>
    <w:rsid w:val="00A219F9"/>
    <w:rsid w:val="00A245D3"/>
    <w:rsid w:val="00A24FCB"/>
    <w:rsid w:val="00A264C1"/>
    <w:rsid w:val="00A317A9"/>
    <w:rsid w:val="00A37E30"/>
    <w:rsid w:val="00A535CE"/>
    <w:rsid w:val="00A617E1"/>
    <w:rsid w:val="00A6647B"/>
    <w:rsid w:val="00A669F0"/>
    <w:rsid w:val="00A8122A"/>
    <w:rsid w:val="00A81E6E"/>
    <w:rsid w:val="00A84389"/>
    <w:rsid w:val="00A9257F"/>
    <w:rsid w:val="00AA4BF9"/>
    <w:rsid w:val="00AA739B"/>
    <w:rsid w:val="00AB042B"/>
    <w:rsid w:val="00AB6405"/>
    <w:rsid w:val="00AB7FB5"/>
    <w:rsid w:val="00AC193D"/>
    <w:rsid w:val="00AE09A4"/>
    <w:rsid w:val="00AE215D"/>
    <w:rsid w:val="00AF6FA0"/>
    <w:rsid w:val="00B00598"/>
    <w:rsid w:val="00B05A80"/>
    <w:rsid w:val="00B137D9"/>
    <w:rsid w:val="00B16D95"/>
    <w:rsid w:val="00B20316"/>
    <w:rsid w:val="00B203FC"/>
    <w:rsid w:val="00B2778E"/>
    <w:rsid w:val="00B32F74"/>
    <w:rsid w:val="00B34E3C"/>
    <w:rsid w:val="00B40D20"/>
    <w:rsid w:val="00B41523"/>
    <w:rsid w:val="00B4348B"/>
    <w:rsid w:val="00B46758"/>
    <w:rsid w:val="00B51369"/>
    <w:rsid w:val="00B51ED6"/>
    <w:rsid w:val="00B601BA"/>
    <w:rsid w:val="00B60456"/>
    <w:rsid w:val="00B62597"/>
    <w:rsid w:val="00B6658A"/>
    <w:rsid w:val="00B8128D"/>
    <w:rsid w:val="00B8195B"/>
    <w:rsid w:val="00B824C0"/>
    <w:rsid w:val="00B83FBB"/>
    <w:rsid w:val="00B86CD5"/>
    <w:rsid w:val="00B95EBD"/>
    <w:rsid w:val="00BA09D2"/>
    <w:rsid w:val="00BA2A0C"/>
    <w:rsid w:val="00BA38C1"/>
    <w:rsid w:val="00BA6146"/>
    <w:rsid w:val="00BB3866"/>
    <w:rsid w:val="00BB531B"/>
    <w:rsid w:val="00BC07CD"/>
    <w:rsid w:val="00BC6ABB"/>
    <w:rsid w:val="00BD037A"/>
    <w:rsid w:val="00BD3607"/>
    <w:rsid w:val="00BE4210"/>
    <w:rsid w:val="00BF331B"/>
    <w:rsid w:val="00BF43FA"/>
    <w:rsid w:val="00BF63BE"/>
    <w:rsid w:val="00C00749"/>
    <w:rsid w:val="00C008E9"/>
    <w:rsid w:val="00C03133"/>
    <w:rsid w:val="00C06580"/>
    <w:rsid w:val="00C10209"/>
    <w:rsid w:val="00C171AD"/>
    <w:rsid w:val="00C21438"/>
    <w:rsid w:val="00C37FCE"/>
    <w:rsid w:val="00C439EC"/>
    <w:rsid w:val="00C511BE"/>
    <w:rsid w:val="00C5435D"/>
    <w:rsid w:val="00C57EBC"/>
    <w:rsid w:val="00C6304B"/>
    <w:rsid w:val="00C72168"/>
    <w:rsid w:val="00C74C48"/>
    <w:rsid w:val="00C82725"/>
    <w:rsid w:val="00C8436A"/>
    <w:rsid w:val="00C866B3"/>
    <w:rsid w:val="00C9595A"/>
    <w:rsid w:val="00CA49B9"/>
    <w:rsid w:val="00CA7B62"/>
    <w:rsid w:val="00CC1B47"/>
    <w:rsid w:val="00CC26DC"/>
    <w:rsid w:val="00CC6523"/>
    <w:rsid w:val="00CE40C7"/>
    <w:rsid w:val="00CF1DC9"/>
    <w:rsid w:val="00D0016D"/>
    <w:rsid w:val="00D07F5F"/>
    <w:rsid w:val="00D136EA"/>
    <w:rsid w:val="00D161E6"/>
    <w:rsid w:val="00D251ED"/>
    <w:rsid w:val="00D25DF9"/>
    <w:rsid w:val="00D267EF"/>
    <w:rsid w:val="00D31FAC"/>
    <w:rsid w:val="00D3502E"/>
    <w:rsid w:val="00D35936"/>
    <w:rsid w:val="00D42353"/>
    <w:rsid w:val="00D61AE2"/>
    <w:rsid w:val="00D64111"/>
    <w:rsid w:val="00D6742F"/>
    <w:rsid w:val="00D8016A"/>
    <w:rsid w:val="00D81822"/>
    <w:rsid w:val="00D844BE"/>
    <w:rsid w:val="00D86298"/>
    <w:rsid w:val="00D87424"/>
    <w:rsid w:val="00D95949"/>
    <w:rsid w:val="00D95E29"/>
    <w:rsid w:val="00DA0658"/>
    <w:rsid w:val="00DB29E9"/>
    <w:rsid w:val="00DC560C"/>
    <w:rsid w:val="00DC5D02"/>
    <w:rsid w:val="00DE01FF"/>
    <w:rsid w:val="00DE3383"/>
    <w:rsid w:val="00DE34CF"/>
    <w:rsid w:val="00DE69E3"/>
    <w:rsid w:val="00DF4538"/>
    <w:rsid w:val="00DF4E9B"/>
    <w:rsid w:val="00E10857"/>
    <w:rsid w:val="00E12F34"/>
    <w:rsid w:val="00E2171F"/>
    <w:rsid w:val="00E4378D"/>
    <w:rsid w:val="00E44B3F"/>
    <w:rsid w:val="00E4565B"/>
    <w:rsid w:val="00E57BB8"/>
    <w:rsid w:val="00E6409B"/>
    <w:rsid w:val="00E64372"/>
    <w:rsid w:val="00E700C3"/>
    <w:rsid w:val="00E81E20"/>
    <w:rsid w:val="00E86B7F"/>
    <w:rsid w:val="00EA07B5"/>
    <w:rsid w:val="00EB14F2"/>
    <w:rsid w:val="00EB68B0"/>
    <w:rsid w:val="00ED13DC"/>
    <w:rsid w:val="00F03D4A"/>
    <w:rsid w:val="00F0502B"/>
    <w:rsid w:val="00F075CF"/>
    <w:rsid w:val="00F2178E"/>
    <w:rsid w:val="00F24F3A"/>
    <w:rsid w:val="00F333AC"/>
    <w:rsid w:val="00F3674E"/>
    <w:rsid w:val="00F4190F"/>
    <w:rsid w:val="00F501D3"/>
    <w:rsid w:val="00F65881"/>
    <w:rsid w:val="00F77151"/>
    <w:rsid w:val="00F81DC3"/>
    <w:rsid w:val="00F87CC1"/>
    <w:rsid w:val="00F903B5"/>
    <w:rsid w:val="00F9631E"/>
    <w:rsid w:val="00FA73A2"/>
    <w:rsid w:val="00FB3AD2"/>
    <w:rsid w:val="00FC2B9A"/>
    <w:rsid w:val="00FC6A5A"/>
    <w:rsid w:val="00FD63CC"/>
    <w:rsid w:val="00FE4974"/>
    <w:rsid w:val="00FE5D37"/>
    <w:rsid w:val="00FE6666"/>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pjm.com/Glossary.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9AF37-9565-4E6D-A00B-BA910EAB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8018</Characters>
  <Application>Microsoft Office Word</Application>
  <DocSecurity>4</DocSecurity>
  <Lines>163</Lines>
  <Paragraphs>78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2016-09-22T20:04:00Z</cp:lastPrinted>
  <dcterms:created xsi:type="dcterms:W3CDTF">2016-11-10T22:25:00Z</dcterms:created>
  <dcterms:modified xsi:type="dcterms:W3CDTF">2016-11-10T22:25:00Z</dcterms:modified>
</cp:coreProperties>
</file>