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5EC11AF4" w14:textId="77777777">
      <w:pPr>
        <w:pStyle w:val="MeetingDetails"/>
      </w:pPr>
      <w:r>
        <w:t>Markets &amp; Reliability Committees</w:t>
      </w:r>
    </w:p>
    <w:p w:rsidR="00857EA0" w:rsidRPr="00B62597" w:rsidP="00857EA0" w14:paraId="3133D955" w14:textId="77777777">
      <w:pPr>
        <w:pStyle w:val="MeetingDetails"/>
      </w:pPr>
      <w:r>
        <w:t>PJM Conference and Training Center, Audubon, PA</w:t>
      </w:r>
      <w:r w:rsidRPr="004C6E71">
        <w:t xml:space="preserve"> </w:t>
      </w:r>
      <w:r>
        <w:t>/ WebEx</w:t>
      </w:r>
    </w:p>
    <w:p w:rsidR="00857EA0" w:rsidRPr="001B4664" w:rsidP="00857EA0" w14:paraId="2D2571CA" w14:textId="792F4E8B">
      <w:pPr>
        <w:pStyle w:val="MeetingDetails"/>
      </w:pPr>
      <w:r>
        <w:t>May 22</w:t>
      </w:r>
      <w:r w:rsidRPr="001B4664">
        <w:t>, 202</w:t>
      </w:r>
      <w:r>
        <w:t>4</w:t>
      </w:r>
    </w:p>
    <w:p w:rsidR="00857EA0" w:rsidRPr="00AE7815" w:rsidP="00857EA0" w14:paraId="108B190B" w14:textId="0C9F285D">
      <w:pPr>
        <w:pStyle w:val="MeetingDetails"/>
      </w:pPr>
      <w:r w:rsidRPr="00AE7815">
        <w:t xml:space="preserve">9:00 a.m. </w:t>
      </w:r>
      <w:r w:rsidRPr="005A3B8F">
        <w:t>–</w:t>
      </w:r>
      <w:r w:rsidR="00024530">
        <w:t xml:space="preserve"> </w:t>
      </w:r>
      <w:r w:rsidR="00680537">
        <w:t>11:</w:t>
      </w:r>
      <w:r w:rsidR="00026A70">
        <w:t>15</w:t>
      </w:r>
      <w:r w:rsidR="00AE41E2">
        <w:t xml:space="preserve"> a</w:t>
      </w:r>
      <w:r w:rsidRPr="005A3B8F">
        <w:t>.m. EPT</w:t>
      </w:r>
    </w:p>
    <w:p w:rsidR="00B62597" w:rsidRPr="00B62597" w:rsidP="00B62597" w14:paraId="434C797D" w14:textId="77777777">
      <w:pPr>
        <w:spacing w:after="0" w:line="240" w:lineRule="auto"/>
        <w:rPr>
          <w:rFonts w:ascii="Arial Narrow" w:eastAsia="Times New Roman" w:hAnsi="Arial Narrow" w:cs="Times New Roman"/>
          <w:sz w:val="24"/>
          <w:szCs w:val="20"/>
        </w:rPr>
      </w:pPr>
    </w:p>
    <w:p w:rsidR="00B62597" w:rsidRPr="00B62597" w:rsidP="007C2954" w14:paraId="67DD769E" w14:textId="77777777">
      <w:pPr>
        <w:pStyle w:val="PrimaryHeading"/>
        <w:rPr>
          <w:caps/>
        </w:rPr>
      </w:pPr>
      <w:bookmarkStart w:id="0" w:name="OLE_LINK5"/>
      <w:bookmarkStart w:id="1" w:name="OLE_LINK3"/>
      <w:r w:rsidRPr="00527104">
        <w:t>Adm</w:t>
      </w:r>
      <w:r w:rsidRPr="007C2954">
        <w:t>inistrati</w:t>
      </w:r>
      <w:r w:rsidRPr="00527104">
        <w:t>on (</w:t>
      </w:r>
      <w:r w:rsidR="00857EA0">
        <w:t>9:00-9:05</w:t>
      </w:r>
      <w:r w:rsidRPr="00527104">
        <w:t>)</w:t>
      </w:r>
    </w:p>
    <w:bookmarkEnd w:id="0"/>
    <w:bookmarkEnd w:id="1"/>
    <w:p w:rsidR="00B62597" w:rsidP="00857EA0" w14:paraId="361C6CCE" w14:textId="77777777">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14:paraId="7B86F9C4" w14:textId="77777777">
      <w:pPr>
        <w:pStyle w:val="PrimaryHeading"/>
        <w:spacing w:before="120" w:after="200"/>
      </w:pPr>
      <w:r>
        <w:t>Consent Agenda (9:05-9:10)</w:t>
      </w:r>
    </w:p>
    <w:p w:rsidR="00857EA0" w:rsidP="00DD6DF5" w14:paraId="0428D9BB" w14:textId="3E4D24C2">
      <w:pPr>
        <w:pStyle w:val="SecondaryHeading-Numbered"/>
        <w:numPr>
          <w:ilvl w:val="0"/>
          <w:numId w:val="3"/>
        </w:numPr>
        <w:spacing w:before="120"/>
        <w:rPr>
          <w:szCs w:val="24"/>
        </w:rPr>
      </w:pPr>
      <w:r w:rsidRPr="00A05D00">
        <w:rPr>
          <w:szCs w:val="24"/>
          <w:u w:val="single"/>
        </w:rPr>
        <w:t>Approve</w:t>
      </w:r>
      <w:r w:rsidRPr="00E01E4B">
        <w:rPr>
          <w:szCs w:val="24"/>
        </w:rPr>
        <w:t xml:space="preserve"> </w:t>
      </w:r>
      <w:r w:rsidRPr="00857EA0">
        <w:rPr>
          <w:b w:val="0"/>
          <w:szCs w:val="24"/>
        </w:rPr>
        <w:t xml:space="preserve">minutes of the </w:t>
      </w:r>
      <w:r w:rsidR="00024530">
        <w:rPr>
          <w:b w:val="0"/>
          <w:szCs w:val="24"/>
        </w:rPr>
        <w:t>April 25</w:t>
      </w:r>
      <w:r w:rsidR="00F47890">
        <w:rPr>
          <w:b w:val="0"/>
        </w:rPr>
        <w:t>, 2024</w:t>
      </w:r>
      <w:r w:rsidRPr="00857EA0">
        <w:rPr>
          <w:b w:val="0"/>
          <w:szCs w:val="24"/>
        </w:rPr>
        <w:t xml:space="preserve"> meeting of the Markets and Reliability Committee</w:t>
      </w:r>
      <w:r w:rsidR="0050064E">
        <w:rPr>
          <w:b w:val="0"/>
          <w:szCs w:val="24"/>
        </w:rPr>
        <w:t xml:space="preserve"> (MRC)</w:t>
      </w:r>
      <w:r>
        <w:rPr>
          <w:szCs w:val="24"/>
        </w:rPr>
        <w:t>.</w:t>
      </w:r>
    </w:p>
    <w:p w:rsidR="0050064E" w:rsidP="00DD6DF5" w14:paraId="4B473BDE" w14:textId="35273D73">
      <w:pPr>
        <w:pStyle w:val="SecondaryHeading-Numbered"/>
        <w:numPr>
          <w:ilvl w:val="0"/>
          <w:numId w:val="3"/>
        </w:numPr>
        <w:spacing w:before="120"/>
        <w:rPr>
          <w:szCs w:val="24"/>
        </w:rPr>
      </w:pPr>
      <w:r w:rsidRPr="00A05D00">
        <w:rPr>
          <w:szCs w:val="24"/>
          <w:u w:val="single"/>
        </w:rPr>
        <w:t>Approve</w:t>
      </w:r>
      <w:r w:rsidRPr="00E01E4B">
        <w:rPr>
          <w:szCs w:val="24"/>
        </w:rPr>
        <w:t xml:space="preserve"> </w:t>
      </w:r>
      <w:r w:rsidRPr="00857EA0">
        <w:rPr>
          <w:b w:val="0"/>
          <w:szCs w:val="24"/>
        </w:rPr>
        <w:t xml:space="preserve">minutes of the </w:t>
      </w:r>
      <w:r>
        <w:rPr>
          <w:b w:val="0"/>
          <w:szCs w:val="24"/>
        </w:rPr>
        <w:t>April 25</w:t>
      </w:r>
      <w:r>
        <w:rPr>
          <w:b w:val="0"/>
        </w:rPr>
        <w:t>, 2024</w:t>
      </w:r>
      <w:r w:rsidRPr="00857EA0">
        <w:rPr>
          <w:b w:val="0"/>
          <w:szCs w:val="24"/>
        </w:rPr>
        <w:t xml:space="preserve"> </w:t>
      </w:r>
      <w:r>
        <w:rPr>
          <w:b w:val="0"/>
          <w:szCs w:val="24"/>
        </w:rPr>
        <w:t xml:space="preserve">Informational </w:t>
      </w:r>
      <w:r w:rsidRPr="00857EA0">
        <w:rPr>
          <w:b w:val="0"/>
          <w:szCs w:val="24"/>
        </w:rPr>
        <w:t xml:space="preserve">meeting of the </w:t>
      </w:r>
      <w:r>
        <w:rPr>
          <w:b w:val="0"/>
          <w:szCs w:val="24"/>
        </w:rPr>
        <w:t>MRC</w:t>
      </w:r>
      <w:r>
        <w:rPr>
          <w:szCs w:val="24"/>
        </w:rPr>
        <w:t>.</w:t>
      </w:r>
    </w:p>
    <w:p w:rsidR="00024530" w:rsidRPr="005A3B8F" w:rsidP="00DD6DF5" w14:paraId="11D64406" w14:textId="641EB968">
      <w:pPr>
        <w:pStyle w:val="SecondaryHeading-Numbered"/>
        <w:numPr>
          <w:ilvl w:val="0"/>
          <w:numId w:val="3"/>
        </w:numPr>
        <w:rPr>
          <w:b w:val="0"/>
          <w:u w:val="single"/>
        </w:rPr>
      </w:pPr>
      <w:r w:rsidRPr="00024530">
        <w:rPr>
          <w:u w:val="single"/>
        </w:rPr>
        <w:t>Endorse</w:t>
      </w:r>
      <w:r>
        <w:rPr>
          <w:b w:val="0"/>
        </w:rPr>
        <w:t xml:space="preserve"> proposed revisions to </w:t>
      </w:r>
      <w:r w:rsidRPr="005A3B8F">
        <w:rPr>
          <w:b w:val="0"/>
        </w:rPr>
        <w:t xml:space="preserve">Manual 03: Transmission Operations </w:t>
      </w:r>
      <w:r>
        <w:rPr>
          <w:b w:val="0"/>
        </w:rPr>
        <w:t xml:space="preserve">resulting from its </w:t>
      </w:r>
      <w:r w:rsidRPr="005A3B8F">
        <w:rPr>
          <w:b w:val="0"/>
        </w:rPr>
        <w:t xml:space="preserve">periodic review. </w:t>
      </w:r>
    </w:p>
    <w:p w:rsidR="00024530" w:rsidRPr="00024530" w:rsidP="00DD6DF5" w14:paraId="0A216FF0" w14:textId="788AA6E8">
      <w:pPr>
        <w:pStyle w:val="SecondaryHeading-Numbered"/>
        <w:numPr>
          <w:ilvl w:val="0"/>
          <w:numId w:val="3"/>
        </w:numPr>
        <w:spacing w:before="120"/>
        <w:rPr>
          <w:szCs w:val="24"/>
        </w:rPr>
      </w:pPr>
      <w:r w:rsidRPr="00024530">
        <w:rPr>
          <w:u w:val="single"/>
        </w:rPr>
        <w:t>Endorse</w:t>
      </w:r>
      <w:r w:rsidRPr="00024530">
        <w:rPr>
          <w:b w:val="0"/>
        </w:rPr>
        <w:t xml:space="preserve"> proposed revisions to Manual 36: System Restoration resulting from its periodic review. </w:t>
      </w:r>
    </w:p>
    <w:p w:rsidR="001D3B68" w:rsidRPr="00523993" w:rsidP="007C2954" w14:paraId="1B733662" w14:textId="311EF9A4">
      <w:pPr>
        <w:pStyle w:val="PrimaryHeading"/>
        <w:rPr>
          <w:b w:val="0"/>
          <w:color w:val="FF0000"/>
        </w:rPr>
      </w:pPr>
      <w:r>
        <w:t xml:space="preserve">Endorsements </w:t>
      </w:r>
      <w:r w:rsidR="00915FA7">
        <w:t>(9</w:t>
      </w:r>
      <w:r w:rsidRPr="00AE7815" w:rsidR="00915FA7">
        <w:t>:10-</w:t>
      </w:r>
      <w:r w:rsidR="00AE41E2">
        <w:t>9:35</w:t>
      </w:r>
      <w:r w:rsidRPr="00AE7815" w:rsidR="00614326">
        <w:t>)</w:t>
      </w:r>
    </w:p>
    <w:p w:rsidR="00024530" w:rsidRPr="005A24FE" w:rsidP="00024530" w14:paraId="4E3AF5A1" w14:textId="1C005409">
      <w:pPr>
        <w:pStyle w:val="SecondaryHeading-Numbered"/>
        <w:rPr>
          <w:b w:val="0"/>
          <w:u w:val="single"/>
        </w:rPr>
      </w:pPr>
      <w:r w:rsidRPr="005A24FE">
        <w:rPr>
          <w:b w:val="0"/>
          <w:u w:val="single"/>
        </w:rPr>
        <w:t>Capacity Obligations for Forecasted Large Load Adjustments (</w:t>
      </w:r>
      <w:r w:rsidR="00AE41E2">
        <w:rPr>
          <w:b w:val="0"/>
          <w:u w:val="single"/>
        </w:rPr>
        <w:t>9:10-9:35</w:t>
      </w:r>
      <w:r w:rsidRPr="005A24FE">
        <w:rPr>
          <w:b w:val="0"/>
          <w:u w:val="single"/>
        </w:rPr>
        <w:t xml:space="preserve">) </w:t>
      </w:r>
    </w:p>
    <w:p w:rsidR="00644DB5" w:rsidP="00644DB5" w14:paraId="2752084F" w14:textId="77777777">
      <w:pPr>
        <w:pStyle w:val="SecondaryHeading-Numbered"/>
        <w:numPr>
          <w:ilvl w:val="0"/>
          <w:numId w:val="10"/>
        </w:numPr>
        <w:spacing w:before="120" w:after="0"/>
        <w:rPr>
          <w:b w:val="0"/>
        </w:rPr>
      </w:pPr>
      <w:r w:rsidRPr="00140B58">
        <w:rPr>
          <w:b w:val="0"/>
        </w:rPr>
        <w:t xml:space="preserve">Pete Langbein will review a proposed solution addressing capacity obligations for forecasted large load adjustments. </w:t>
      </w:r>
    </w:p>
    <w:p w:rsidR="00644DB5" w:rsidP="00644DB5" w14:paraId="28914345" w14:textId="29823686">
      <w:pPr>
        <w:pStyle w:val="SecondaryHeading-Numbered"/>
        <w:numPr>
          <w:ilvl w:val="0"/>
          <w:numId w:val="10"/>
        </w:numPr>
        <w:spacing w:before="120" w:after="0"/>
        <w:rPr>
          <w:b w:val="0"/>
        </w:rPr>
      </w:pPr>
      <w:r>
        <w:rPr>
          <w:b w:val="0"/>
        </w:rPr>
        <w:t xml:space="preserve">Lynn Horning, AMP, will present a proposed alternate solution </w:t>
      </w:r>
      <w:r w:rsidRPr="00140B58">
        <w:rPr>
          <w:b w:val="0"/>
        </w:rPr>
        <w:t>for forecasted large load adjustments.</w:t>
      </w:r>
    </w:p>
    <w:p w:rsidR="00024530" w:rsidRPr="00140B58" w:rsidP="00644DB5" w14:paraId="46EE0DE9" w14:textId="4299FD25">
      <w:pPr>
        <w:pStyle w:val="SecondaryHeading-Numbered"/>
        <w:numPr>
          <w:ilvl w:val="0"/>
          <w:numId w:val="0"/>
        </w:numPr>
        <w:spacing w:before="120" w:after="0"/>
        <w:ind w:left="360"/>
        <w:rPr>
          <w:b w:val="0"/>
        </w:rPr>
      </w:pPr>
      <w:r w:rsidRPr="00C97B37">
        <w:t>The committee will be asked to endorse the proposed solution and corresponding Tariff and Reliability Assurance Agreement (RAA) revisions.</w:t>
      </w:r>
      <w:r w:rsidRPr="00140B58">
        <w:rPr>
          <w:b w:val="0"/>
        </w:rPr>
        <w:t xml:space="preserve"> </w:t>
      </w:r>
    </w:p>
    <w:p w:rsidR="00024530" w:rsidP="00024530" w14:paraId="5E2849D4" w14:textId="15E58951">
      <w:pPr>
        <w:pStyle w:val="SecondaryHeading-Numbered"/>
        <w:numPr>
          <w:ilvl w:val="0"/>
          <w:numId w:val="0"/>
        </w:numPr>
        <w:ind w:left="360"/>
        <w:rPr>
          <w:rStyle w:val="Hyperlink"/>
          <w:b w:val="0"/>
        </w:rPr>
      </w:pPr>
      <w:hyperlink r:id="rId4" w:history="1">
        <w:r w:rsidRPr="00140B58">
          <w:rPr>
            <w:rStyle w:val="Hyperlink"/>
            <w:b w:val="0"/>
          </w:rPr>
          <w:t>Issue Tracking: Capacity Obligations for Forecasted Large Load Adjustments</w:t>
        </w:r>
      </w:hyperlink>
    </w:p>
    <w:p w:rsidR="00026A70" w:rsidP="00026A70" w14:paraId="75F4358A" w14:textId="298BD261">
      <w:pPr>
        <w:pStyle w:val="SecondaryHeading-Numbered"/>
        <w:rPr>
          <w:b w:val="0"/>
          <w:u w:val="single"/>
        </w:rPr>
      </w:pPr>
      <w:r>
        <w:rPr>
          <w:b w:val="0"/>
          <w:u w:val="single"/>
        </w:rPr>
        <w:t xml:space="preserve">Demand Response Availability Window </w:t>
      </w:r>
      <w:r w:rsidRPr="004C36CC">
        <w:rPr>
          <w:b w:val="0"/>
          <w:u w:val="single"/>
        </w:rPr>
        <w:t>(</w:t>
      </w:r>
      <w:r>
        <w:rPr>
          <w:b w:val="0"/>
          <w:u w:val="single"/>
        </w:rPr>
        <w:t>9:35-9:50</w:t>
      </w:r>
      <w:r w:rsidRPr="004C36CC">
        <w:rPr>
          <w:b w:val="0"/>
          <w:u w:val="single"/>
        </w:rPr>
        <w:t>)</w:t>
      </w:r>
    </w:p>
    <w:p w:rsidR="00026A70" w:rsidP="00026A70" w14:paraId="34B6E73E" w14:textId="7F675B70">
      <w:pPr>
        <w:pStyle w:val="SecondaryHeading-Numbered"/>
        <w:numPr>
          <w:ilvl w:val="0"/>
          <w:numId w:val="0"/>
        </w:numPr>
        <w:ind w:left="360"/>
      </w:pPr>
      <w:r w:rsidRPr="00515E8C">
        <w:rPr>
          <w:b w:val="0"/>
        </w:rPr>
        <w:t xml:space="preserve">Bruce Campbell, </w:t>
      </w:r>
      <w:r>
        <w:rPr>
          <w:b w:val="0"/>
        </w:rPr>
        <w:t xml:space="preserve">on behalf of DR Providers, </w:t>
      </w:r>
      <w:r w:rsidRPr="00515E8C">
        <w:rPr>
          <w:b w:val="0"/>
        </w:rPr>
        <w:t xml:space="preserve">will review a proposed Problem Statement and Issue Charge addressing the </w:t>
      </w:r>
      <w:r>
        <w:rPr>
          <w:b w:val="0"/>
        </w:rPr>
        <w:t>alignment of demand response capacity availability hours with periods of reliability risk</w:t>
      </w:r>
      <w:r w:rsidRPr="00515E8C">
        <w:rPr>
          <w:b w:val="0"/>
        </w:rPr>
        <w:t xml:space="preserve">. </w:t>
      </w:r>
      <w:r w:rsidRPr="00396120">
        <w:t>The committee will be asked to approve the proposed Issue Charge</w:t>
      </w:r>
      <w:r>
        <w:t xml:space="preserve"> and endorse the proposed solution to Key Work Activity 2 using the Quick Fix process outlined in Manual 34, </w:t>
      </w:r>
      <w:r w:rsidRPr="00AE7815">
        <w:t xml:space="preserve">Section 8.6.1. </w:t>
      </w:r>
    </w:p>
    <w:p w:rsidR="00644DB5" w:rsidP="00026A70" w14:paraId="3B2BD57E" w14:textId="738245BD">
      <w:pPr>
        <w:pStyle w:val="SecondaryHeading-Numbered"/>
        <w:numPr>
          <w:ilvl w:val="0"/>
          <w:numId w:val="0"/>
        </w:numPr>
        <w:ind w:left="360"/>
      </w:pPr>
    </w:p>
    <w:p w:rsidR="00644DB5" w:rsidRPr="00AE7815" w:rsidP="00026A70" w14:paraId="67BA5074" w14:textId="77777777">
      <w:pPr>
        <w:pStyle w:val="SecondaryHeading-Numbered"/>
        <w:numPr>
          <w:ilvl w:val="0"/>
          <w:numId w:val="0"/>
        </w:numPr>
        <w:ind w:left="360"/>
      </w:pPr>
    </w:p>
    <w:p w:rsidR="00AD78F1" w:rsidRPr="00614326" w:rsidP="00A82E9D" w14:paraId="46FB2F53" w14:textId="4E32F093">
      <w:pPr>
        <w:pStyle w:val="PrimaryHeading"/>
        <w:rPr>
          <w:color w:val="FF0000"/>
        </w:rPr>
      </w:pPr>
      <w:r>
        <w:t xml:space="preserve">First </w:t>
      </w:r>
      <w:r w:rsidRPr="00AE7815">
        <w:t>Readings</w:t>
      </w:r>
      <w:r w:rsidRPr="00AE7815" w:rsidR="00606F11">
        <w:t xml:space="preserve"> </w:t>
      </w:r>
      <w:r w:rsidRPr="00AE7815" w:rsidR="001D3B68">
        <w:t>(</w:t>
      </w:r>
      <w:r w:rsidR="00AE41E2">
        <w:t>9:</w:t>
      </w:r>
      <w:r w:rsidR="00026A70">
        <w:t>50</w:t>
      </w:r>
      <w:r w:rsidR="00AE41E2">
        <w:t>-10:</w:t>
      </w:r>
      <w:r w:rsidR="00026A70">
        <w:t>50</w:t>
      </w:r>
      <w:r w:rsidRPr="005A3B8F" w:rsidR="001D3B68">
        <w:t>)</w:t>
      </w:r>
    </w:p>
    <w:p w:rsidR="00500336" w:rsidRPr="00EA6EAD" w:rsidP="00EA6EAD" w14:paraId="34DD3591" w14:textId="4B420479">
      <w:pPr>
        <w:pStyle w:val="SecondaryHeading-Numbered"/>
        <w:rPr>
          <w:b w:val="0"/>
          <w:u w:val="single"/>
        </w:rPr>
      </w:pPr>
      <w:r w:rsidRPr="00EA6EAD">
        <w:rPr>
          <w:b w:val="0"/>
          <w:u w:val="single"/>
        </w:rPr>
        <w:t>CIFP Manual Revisions (</w:t>
      </w:r>
      <w:r w:rsidR="00AE41E2">
        <w:rPr>
          <w:b w:val="0"/>
          <w:u w:val="single"/>
        </w:rPr>
        <w:t>9:</w:t>
      </w:r>
      <w:r w:rsidR="00026A70">
        <w:rPr>
          <w:b w:val="0"/>
          <w:u w:val="single"/>
        </w:rPr>
        <w:t>50</w:t>
      </w:r>
      <w:r w:rsidR="00AE41E2">
        <w:rPr>
          <w:b w:val="0"/>
          <w:u w:val="single"/>
        </w:rPr>
        <w:t>-10:</w:t>
      </w:r>
      <w:r w:rsidR="00026A70">
        <w:rPr>
          <w:b w:val="0"/>
          <w:u w:val="single"/>
        </w:rPr>
        <w:t>20</w:t>
      </w:r>
      <w:r w:rsidRPr="00EA6EAD">
        <w:rPr>
          <w:b w:val="0"/>
          <w:u w:val="single"/>
        </w:rPr>
        <w:t xml:space="preserve">) </w:t>
      </w:r>
    </w:p>
    <w:p w:rsidR="007C693B" w:rsidP="00DD6DF5" w14:paraId="1E0243B0" w14:textId="77777777">
      <w:pPr>
        <w:pStyle w:val="ListSubhead1"/>
        <w:numPr>
          <w:ilvl w:val="0"/>
          <w:numId w:val="4"/>
        </w:numPr>
        <w:tabs>
          <w:tab w:val="clear" w:pos="0"/>
        </w:tabs>
        <w:rPr>
          <w:b w:val="0"/>
        </w:rPr>
      </w:pPr>
      <w:r w:rsidRPr="007C693B">
        <w:rPr>
          <w:b w:val="0"/>
        </w:rPr>
        <w:t xml:space="preserve">Skyler Marzewski will review proposed revisions to Manual 18: PJM Capacity Market conforming to FERC Order ER24-99 and the approved solution for the Local Considerations for Net Cost of New Entry. </w:t>
      </w:r>
    </w:p>
    <w:p w:rsidR="007C693B" w:rsidP="00DD6DF5" w14:paraId="48661E86" w14:textId="5375F456">
      <w:pPr>
        <w:pStyle w:val="ListSubhead1"/>
        <w:numPr>
          <w:ilvl w:val="0"/>
          <w:numId w:val="4"/>
        </w:numPr>
        <w:tabs>
          <w:tab w:val="clear" w:pos="0"/>
        </w:tabs>
        <w:rPr>
          <w:b w:val="0"/>
        </w:rPr>
      </w:pPr>
      <w:r>
        <w:rPr>
          <w:b w:val="0"/>
        </w:rPr>
        <w:t xml:space="preserve">Josh Bruno and Patricio Rocha Garrido will review proposed revisions to Manuals 14B: </w:t>
      </w:r>
      <w:r w:rsidRPr="00EA6EAD" w:rsidR="00EA6EAD">
        <w:rPr>
          <w:b w:val="0"/>
        </w:rPr>
        <w:t>PJM Region Transmission Planning Process</w:t>
      </w:r>
      <w:r>
        <w:rPr>
          <w:b w:val="0"/>
        </w:rPr>
        <w:t>, 20</w:t>
      </w:r>
      <w:r w:rsidR="00EA6EAD">
        <w:rPr>
          <w:b w:val="0"/>
        </w:rPr>
        <w:t>: PJM Resource Adequacy Analysis</w:t>
      </w:r>
      <w:r>
        <w:rPr>
          <w:b w:val="0"/>
        </w:rPr>
        <w:t>, 20A</w:t>
      </w:r>
      <w:r w:rsidR="00EA6EAD">
        <w:rPr>
          <w:b w:val="0"/>
        </w:rPr>
        <w:t xml:space="preserve">: </w:t>
      </w:r>
      <w:r w:rsidRPr="00EA6EAD" w:rsidR="00EA6EAD">
        <w:rPr>
          <w:b w:val="0"/>
        </w:rPr>
        <w:t>Resource Adequacy Analysis</w:t>
      </w:r>
      <w:r>
        <w:rPr>
          <w:b w:val="0"/>
        </w:rPr>
        <w:t>, 21</w:t>
      </w:r>
      <w:r w:rsidR="00EA6EAD">
        <w:rPr>
          <w:b w:val="0"/>
        </w:rPr>
        <w:t>: Rules and Procedures for Determination of Generating Capability</w:t>
      </w:r>
      <w:r>
        <w:rPr>
          <w:b w:val="0"/>
        </w:rPr>
        <w:t>, 21A</w:t>
      </w:r>
      <w:r w:rsidR="00EA6EAD">
        <w:rPr>
          <w:b w:val="0"/>
        </w:rPr>
        <w:t>: Determination of Accredited UCAP Using Effective Load Carrying Capability Analysis,</w:t>
      </w:r>
      <w:r>
        <w:rPr>
          <w:b w:val="0"/>
        </w:rPr>
        <w:t xml:space="preserve"> and 21B</w:t>
      </w:r>
      <w:r w:rsidR="00EA6EAD">
        <w:rPr>
          <w:b w:val="0"/>
        </w:rPr>
        <w:t xml:space="preserve">: </w:t>
      </w:r>
      <w:r w:rsidRPr="00EA6EAD" w:rsidR="00EA6EAD">
        <w:rPr>
          <w:b w:val="0"/>
        </w:rPr>
        <w:t>Rules and Procedures for Determination of Generating Capability</w:t>
      </w:r>
      <w:r>
        <w:rPr>
          <w:b w:val="0"/>
        </w:rPr>
        <w:t xml:space="preserve"> </w:t>
      </w:r>
      <w:r w:rsidR="00EA6EAD">
        <w:rPr>
          <w:b w:val="0"/>
        </w:rPr>
        <w:t xml:space="preserve">conforming to FERC Order ER24-99.  </w:t>
      </w:r>
    </w:p>
    <w:p w:rsidR="00C97B37" w:rsidRPr="007C693B" w:rsidP="00EA6EAD" w14:paraId="03F97B11" w14:textId="3EA483EE">
      <w:pPr>
        <w:pStyle w:val="ListSubhead1"/>
        <w:numPr>
          <w:ilvl w:val="0"/>
          <w:numId w:val="0"/>
        </w:numPr>
        <w:tabs>
          <w:tab w:val="clear" w:pos="0"/>
        </w:tabs>
        <w:spacing w:after="0"/>
        <w:ind w:left="360"/>
        <w:rPr>
          <w:b w:val="0"/>
        </w:rPr>
      </w:pPr>
      <w:r w:rsidRPr="007C693B">
        <w:rPr>
          <w:b w:val="0"/>
        </w:rPr>
        <w:t xml:space="preserve">The committee will be asked to endorse the proposed Manual revisions at its next meeting.   </w:t>
      </w:r>
    </w:p>
    <w:p w:rsidR="00C97B37" w:rsidP="00C97B37" w14:paraId="51CC13FC" w14:textId="389026E5">
      <w:pPr>
        <w:pStyle w:val="SecondaryHeading-Numbered"/>
        <w:numPr>
          <w:ilvl w:val="0"/>
          <w:numId w:val="0"/>
        </w:numPr>
        <w:spacing w:after="0"/>
        <w:ind w:left="360"/>
        <w:rPr>
          <w:b w:val="0"/>
        </w:rPr>
      </w:pPr>
      <w:hyperlink r:id="rId5" w:history="1">
        <w:r w:rsidRPr="00C97B37">
          <w:rPr>
            <w:rStyle w:val="Hyperlink"/>
            <w:b w:val="0"/>
          </w:rPr>
          <w:t>Issue Tracking: CIFP Resource Adequacy</w:t>
        </w:r>
      </w:hyperlink>
    </w:p>
    <w:p w:rsidR="00C97B37" w:rsidP="00500336" w14:paraId="6726909C" w14:textId="0FCD9A1A">
      <w:pPr>
        <w:pStyle w:val="SecondaryHeading-Numbered"/>
        <w:numPr>
          <w:ilvl w:val="0"/>
          <w:numId w:val="0"/>
        </w:numPr>
        <w:ind w:left="360"/>
        <w:rPr>
          <w:rStyle w:val="Hyperlink"/>
          <w:b w:val="0"/>
        </w:rPr>
      </w:pPr>
      <w:hyperlink r:id="rId6" w:history="1">
        <w:r w:rsidRPr="00C97B37">
          <w:rPr>
            <w:rStyle w:val="Hyperlink"/>
            <w:b w:val="0"/>
          </w:rPr>
          <w:t>Issue Tracking: Local Considerations for Net Cost of New Entry</w:t>
        </w:r>
      </w:hyperlink>
    </w:p>
    <w:p w:rsidR="00EA6EAD" w:rsidRPr="00EA6EAD" w:rsidP="00EA6EAD" w14:paraId="53D8FCC1" w14:textId="39BA1CCE">
      <w:pPr>
        <w:pStyle w:val="SecondaryHeading-Numbered"/>
        <w:rPr>
          <w:b w:val="0"/>
          <w:u w:val="single"/>
        </w:rPr>
      </w:pPr>
      <w:r w:rsidRPr="00EA6EAD">
        <w:rPr>
          <w:b w:val="0"/>
          <w:u w:val="single"/>
        </w:rPr>
        <w:t>Electric Gas Coordination (</w:t>
      </w:r>
      <w:r w:rsidR="00AE41E2">
        <w:rPr>
          <w:b w:val="0"/>
          <w:u w:val="single"/>
        </w:rPr>
        <w:t>10:</w:t>
      </w:r>
      <w:r w:rsidR="00026A70">
        <w:rPr>
          <w:b w:val="0"/>
          <w:u w:val="single"/>
        </w:rPr>
        <w:t>20</w:t>
      </w:r>
      <w:r w:rsidR="00AE41E2">
        <w:rPr>
          <w:b w:val="0"/>
          <w:u w:val="single"/>
        </w:rPr>
        <w:t>-10:</w:t>
      </w:r>
      <w:r w:rsidR="00026A70">
        <w:rPr>
          <w:b w:val="0"/>
          <w:u w:val="single"/>
        </w:rPr>
        <w:t>50</w:t>
      </w:r>
      <w:r w:rsidRPr="00EA6EAD">
        <w:rPr>
          <w:b w:val="0"/>
          <w:u w:val="single"/>
        </w:rPr>
        <w:t xml:space="preserve">) </w:t>
      </w:r>
    </w:p>
    <w:p w:rsidR="00EA6EAD" w:rsidP="00DD6DF5" w14:paraId="26CA3910" w14:textId="2C414C1B">
      <w:pPr>
        <w:pStyle w:val="ListSubhead1"/>
        <w:numPr>
          <w:ilvl w:val="0"/>
          <w:numId w:val="5"/>
        </w:numPr>
        <w:rPr>
          <w:b w:val="0"/>
        </w:rPr>
      </w:pPr>
      <w:r>
        <w:rPr>
          <w:b w:val="0"/>
        </w:rPr>
        <w:t xml:space="preserve">Susan McGill will provide an update regarding the activities of the Electric Gas Coordination Senior Task Force (EGCSTF). </w:t>
      </w:r>
    </w:p>
    <w:p w:rsidR="00EA6EAD" w:rsidP="00DD6DF5" w14:paraId="6011621A" w14:textId="7481D5CB">
      <w:pPr>
        <w:pStyle w:val="ListSubhead1"/>
        <w:numPr>
          <w:ilvl w:val="0"/>
          <w:numId w:val="5"/>
        </w:numPr>
        <w:rPr>
          <w:b w:val="0"/>
        </w:rPr>
      </w:pPr>
      <w:r>
        <w:rPr>
          <w:b w:val="0"/>
        </w:rPr>
        <w:t xml:space="preserve">Susan McGill </w:t>
      </w:r>
      <w:r>
        <w:rPr>
          <w:b w:val="0"/>
        </w:rPr>
        <w:t>will review the proposed solution package endorsed by the EGCSTF and corresponding revisions</w:t>
      </w:r>
      <w:r w:rsidR="008D5CDB">
        <w:rPr>
          <w:b w:val="0"/>
        </w:rPr>
        <w:t xml:space="preserve"> to Manual 11: </w:t>
      </w:r>
      <w:r w:rsidRPr="008D5CDB" w:rsidR="008D5CDB">
        <w:rPr>
          <w:b w:val="0"/>
        </w:rPr>
        <w:t>Energy &amp; Ancillary Services Market Operations</w:t>
      </w:r>
      <w:r w:rsidR="004E1445">
        <w:rPr>
          <w:b w:val="0"/>
        </w:rPr>
        <w:t xml:space="preserve"> and</w:t>
      </w:r>
      <w:r w:rsidR="008D5CDB">
        <w:rPr>
          <w:b w:val="0"/>
        </w:rPr>
        <w:t xml:space="preserve"> M</w:t>
      </w:r>
      <w:r w:rsidR="004E1445">
        <w:rPr>
          <w:b w:val="0"/>
        </w:rPr>
        <w:t>anual 13:  Emergency Operations</w:t>
      </w:r>
      <w:r>
        <w:rPr>
          <w:b w:val="0"/>
        </w:rPr>
        <w:t xml:space="preserve">.  </w:t>
      </w:r>
      <w:bookmarkStart w:id="2" w:name="_GoBack"/>
      <w:bookmarkEnd w:id="2"/>
    </w:p>
    <w:p w:rsidR="008D5CDB" w:rsidP="008D5CDB" w14:paraId="629F1060" w14:textId="235C2842">
      <w:pPr>
        <w:pStyle w:val="ListSubhead1"/>
        <w:numPr>
          <w:ilvl w:val="0"/>
          <w:numId w:val="0"/>
        </w:numPr>
        <w:tabs>
          <w:tab w:val="clear" w:pos="0"/>
        </w:tabs>
        <w:spacing w:after="0"/>
        <w:ind w:left="360"/>
        <w:rPr>
          <w:b w:val="0"/>
        </w:rPr>
      </w:pPr>
      <w:r w:rsidRPr="007C693B">
        <w:rPr>
          <w:b w:val="0"/>
        </w:rPr>
        <w:t xml:space="preserve">The committee will be asked to endorse the proposed </w:t>
      </w:r>
      <w:r>
        <w:rPr>
          <w:b w:val="0"/>
        </w:rPr>
        <w:t xml:space="preserve">solution and corresponding </w:t>
      </w:r>
      <w:r w:rsidRPr="007C693B">
        <w:rPr>
          <w:b w:val="0"/>
        </w:rPr>
        <w:t xml:space="preserve">Manual revisions at its next meeting.   </w:t>
      </w:r>
    </w:p>
    <w:p w:rsidR="00A42740" w:rsidP="00A42740" w14:paraId="13221917" w14:textId="74484076">
      <w:pPr>
        <w:pStyle w:val="ListSubhead1"/>
        <w:numPr>
          <w:ilvl w:val="0"/>
          <w:numId w:val="0"/>
        </w:numPr>
        <w:tabs>
          <w:tab w:val="clear" w:pos="0"/>
        </w:tabs>
        <w:ind w:left="360"/>
        <w:rPr>
          <w:rStyle w:val="Hyperlink"/>
          <w:b w:val="0"/>
        </w:rPr>
      </w:pPr>
      <w:hyperlink r:id="rId7" w:history="1">
        <w:r w:rsidRPr="008D5CDB" w:rsidR="008D5CDB">
          <w:rPr>
            <w:rStyle w:val="Hyperlink"/>
            <w:b w:val="0"/>
          </w:rPr>
          <w:t>Issue Tracking: Natural Gas and Electric Market Coordination</w:t>
        </w:r>
      </w:hyperlink>
    </w:p>
    <w:p w:rsidR="00680537" w:rsidRPr="00614326" w:rsidP="00680537" w14:paraId="71AE7F3F" w14:textId="02640449">
      <w:pPr>
        <w:pStyle w:val="PrimaryHeading"/>
        <w:rPr>
          <w:color w:val="FF0000"/>
        </w:rPr>
      </w:pPr>
      <w:r>
        <w:t>Informational Reports</w:t>
      </w:r>
      <w:r w:rsidRPr="00AE7815">
        <w:t xml:space="preserve"> (</w:t>
      </w:r>
      <w:r>
        <w:t>10:</w:t>
      </w:r>
      <w:r w:rsidR="00026A70">
        <w:t>50</w:t>
      </w:r>
      <w:r>
        <w:t>-11:</w:t>
      </w:r>
      <w:r w:rsidR="00026A70">
        <w:t>15</w:t>
      </w:r>
      <w:r w:rsidRPr="005A3B8F">
        <w:t>)</w:t>
      </w:r>
    </w:p>
    <w:p w:rsidR="00680537" w:rsidRPr="00680537" w:rsidP="00680537" w14:paraId="12DDEF4C" w14:textId="5EB083C1">
      <w:pPr>
        <w:pStyle w:val="SecondaryHeading-Numbered"/>
        <w:rPr>
          <w:b w:val="0"/>
          <w:u w:val="single"/>
        </w:rPr>
      </w:pPr>
      <w:r w:rsidRPr="00680537">
        <w:rPr>
          <w:b w:val="0"/>
          <w:u w:val="single"/>
        </w:rPr>
        <w:t xml:space="preserve">FERC </w:t>
      </w:r>
      <w:r>
        <w:rPr>
          <w:b w:val="0"/>
          <w:u w:val="single"/>
        </w:rPr>
        <w:t>Grid Expansion Rule (10:</w:t>
      </w:r>
      <w:r w:rsidR="00026A70">
        <w:rPr>
          <w:b w:val="0"/>
          <w:u w:val="single"/>
        </w:rPr>
        <w:t>50</w:t>
      </w:r>
      <w:r>
        <w:rPr>
          <w:b w:val="0"/>
          <w:u w:val="single"/>
        </w:rPr>
        <w:t>-11:</w:t>
      </w:r>
      <w:r w:rsidR="00026A70">
        <w:rPr>
          <w:b w:val="0"/>
          <w:u w:val="single"/>
        </w:rPr>
        <w:t>15</w:t>
      </w:r>
      <w:r>
        <w:rPr>
          <w:b w:val="0"/>
          <w:u w:val="single"/>
        </w:rPr>
        <w:t>)</w:t>
      </w:r>
    </w:p>
    <w:p w:rsidR="00680537" w:rsidRPr="00680537" w:rsidP="00680537" w14:paraId="5A232322" w14:textId="07A5DD7B">
      <w:pPr>
        <w:pStyle w:val="ListSubhead1"/>
        <w:numPr>
          <w:ilvl w:val="0"/>
          <w:numId w:val="0"/>
        </w:numPr>
        <w:tabs>
          <w:tab w:val="clear" w:pos="0"/>
        </w:tabs>
        <w:spacing w:after="120"/>
        <w:ind w:left="360"/>
        <w:rPr>
          <w:b w:val="0"/>
        </w:rPr>
      </w:pPr>
      <w:r w:rsidRPr="00680537">
        <w:rPr>
          <w:b w:val="0"/>
        </w:rPr>
        <w:t>Paul McGlynn and Jessica Lynch will discuss the Grid Expansion Rule issued by FERC on May 13, 2024.</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A2A4ADE"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026A70" w14:paraId="1284C29A" w14:textId="216C2AEC">
            <w:pPr>
              <w:pStyle w:val="PrimaryHeading"/>
              <w:spacing w:after="0"/>
              <w:rPr>
                <w:b/>
              </w:rPr>
            </w:pPr>
            <w:r w:rsidRPr="0095194C">
              <w:rPr>
                <w:b/>
              </w:rPr>
              <w:t xml:space="preserve">Future Agenda </w:t>
            </w:r>
            <w:r w:rsidRPr="005A3B8F">
              <w:rPr>
                <w:b/>
              </w:rPr>
              <w:t>Items (</w:t>
            </w:r>
            <w:r w:rsidR="00680537">
              <w:rPr>
                <w:b/>
              </w:rPr>
              <w:t>11:</w:t>
            </w:r>
            <w:r w:rsidR="00026A70">
              <w:rPr>
                <w:b/>
              </w:rPr>
              <w:t>15</w:t>
            </w:r>
            <w:r w:rsidRPr="005A3B8F">
              <w:rPr>
                <w:b/>
              </w:rPr>
              <w:t>)</w:t>
            </w:r>
          </w:p>
        </w:tc>
      </w:tr>
      <w:tr w14:paraId="27B05C43"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57EA0" w:rsidP="00857EA0" w14:paraId="1386CD9D" w14:textId="4B1D2CFE">
            <w:pPr>
              <w:pStyle w:val="AttendeesList"/>
              <w:rPr>
                <w:b w:val="0"/>
                <w:bCs w:val="0"/>
              </w:rPr>
            </w:pPr>
          </w:p>
          <w:p w:rsidR="00644DB5" w:rsidP="00857EA0" w14:paraId="3953F64C" w14:textId="74DCB95B">
            <w:pPr>
              <w:pStyle w:val="AttendeesList"/>
              <w:rPr>
                <w:b w:val="0"/>
                <w:bCs w:val="0"/>
              </w:rPr>
            </w:pPr>
          </w:p>
          <w:p w:rsidR="00644DB5" w:rsidP="00857EA0" w14:paraId="52BFC7DA" w14:textId="1FE6126B">
            <w:pPr>
              <w:pStyle w:val="AttendeesList"/>
              <w:rPr>
                <w:b w:val="0"/>
                <w:bCs w:val="0"/>
              </w:rPr>
            </w:pPr>
          </w:p>
          <w:p w:rsidR="00644DB5" w:rsidP="00857EA0" w14:paraId="585D631E" w14:textId="54AAF520">
            <w:pPr>
              <w:pStyle w:val="AttendeesList"/>
              <w:rPr>
                <w:b w:val="0"/>
                <w:bCs w:val="0"/>
              </w:rPr>
            </w:pPr>
          </w:p>
          <w:p w:rsidR="00644DB5" w:rsidP="00857EA0" w14:paraId="3D8AA0EB" w14:textId="683B0EA9">
            <w:pPr>
              <w:pStyle w:val="AttendeesList"/>
              <w:rPr>
                <w:b w:val="0"/>
                <w:bCs w:val="0"/>
              </w:rPr>
            </w:pPr>
          </w:p>
          <w:p w:rsidR="00644DB5" w:rsidP="00857EA0" w14:paraId="3CAE663A" w14:textId="019E59D9">
            <w:pPr>
              <w:pStyle w:val="AttendeesList"/>
              <w:rPr>
                <w:b w:val="0"/>
                <w:bCs w:val="0"/>
              </w:rPr>
            </w:pPr>
          </w:p>
          <w:p w:rsidR="00644DB5" w:rsidP="00857EA0" w14:paraId="32E9994C" w14:textId="77777777">
            <w:pPr>
              <w:pStyle w:val="AttendeesList"/>
              <w:rPr>
                <w:b w:val="0"/>
                <w:bCs w:val="0"/>
              </w:rPr>
            </w:pPr>
          </w:p>
          <w:p w:rsidR="003C3320" w:rsidP="009D7613" w14:paraId="358AC4E5"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A1623DF" w14:textId="77777777" w:rsidTr="00857EA0">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5442C433"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06DBF42"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D4EFB9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012C7A8E" w14:textId="77777777" w:rsidTr="00857EA0">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E6B0A50"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B7772E7"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308011F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3C3CEE24"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888BFA3" w14:textId="77777777">
            <w:pPr>
              <w:pStyle w:val="DisclaimerHeading"/>
              <w:keepLines/>
              <w:jc w:val="center"/>
              <w:rPr>
                <w:color w:val="FFFFFF" w:themeColor="background1"/>
                <w:sz w:val="19"/>
                <w:szCs w:val="19"/>
              </w:rPr>
            </w:pPr>
          </w:p>
        </w:tc>
      </w:tr>
      <w:tr w14:paraId="36110791" w14:textId="77777777" w:rsidTr="00857EA0">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2663EC1"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7822930"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772E8D2"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E5AA24C"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2B6F0B0"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AD38E04" w14:textId="77777777">
            <w:pPr>
              <w:pStyle w:val="DisclaimerHeading"/>
              <w:spacing w:before="40" w:after="40" w:line="220" w:lineRule="exact"/>
              <w:rPr>
                <w:bCs/>
                <w:sz w:val="18"/>
                <w:szCs w:val="18"/>
              </w:rPr>
            </w:pPr>
            <w:r>
              <w:rPr>
                <w:bCs/>
                <w:sz w:val="18"/>
                <w:szCs w:val="18"/>
              </w:rPr>
              <w:t xml:space="preserve">June 27, 2024 </w:t>
            </w:r>
          </w:p>
        </w:tc>
        <w:tc>
          <w:tcPr>
            <w:tcW w:w="900" w:type="dxa"/>
            <w:tcBorders>
              <w:top w:val="single" w:sz="4" w:space="0" w:color="auto"/>
              <w:left w:val="single" w:sz="4" w:space="0" w:color="auto"/>
              <w:right w:val="single" w:sz="4" w:space="0" w:color="auto"/>
            </w:tcBorders>
          </w:tcPr>
          <w:p w:rsidR="00857EA0" w:rsidP="00857EA0" w14:paraId="40FBF85C"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1D73B126"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7A5FBC78" w14:textId="77777777">
            <w:pPr>
              <w:pStyle w:val="DisclaimerHeading"/>
              <w:spacing w:before="40" w:after="40" w:line="220" w:lineRule="exact"/>
              <w:jc w:val="center"/>
              <w:rPr>
                <w:b w:val="0"/>
                <w:color w:val="auto"/>
                <w:sz w:val="18"/>
                <w:szCs w:val="18"/>
              </w:rPr>
            </w:pPr>
            <w:r>
              <w:rPr>
                <w:b w:val="0"/>
                <w:color w:val="auto"/>
                <w:sz w:val="18"/>
                <w:szCs w:val="18"/>
              </w:rPr>
              <w:t>June 17, 2024</w:t>
            </w:r>
          </w:p>
        </w:tc>
        <w:tc>
          <w:tcPr>
            <w:tcW w:w="1604" w:type="dxa"/>
            <w:tcBorders>
              <w:top w:val="single" w:sz="4" w:space="0" w:color="auto"/>
              <w:left w:val="single" w:sz="4" w:space="0" w:color="auto"/>
              <w:right w:val="single" w:sz="4" w:space="0" w:color="auto"/>
            </w:tcBorders>
          </w:tcPr>
          <w:p w:rsidR="00857EA0" w:rsidP="00857EA0" w14:paraId="45CE343D" w14:textId="77777777">
            <w:pPr>
              <w:pStyle w:val="DisclaimerHeading"/>
              <w:spacing w:before="40" w:after="40" w:line="220" w:lineRule="exact"/>
              <w:jc w:val="center"/>
              <w:rPr>
                <w:b w:val="0"/>
                <w:color w:val="auto"/>
                <w:sz w:val="18"/>
                <w:szCs w:val="18"/>
              </w:rPr>
            </w:pPr>
            <w:r>
              <w:rPr>
                <w:b w:val="0"/>
                <w:color w:val="auto"/>
                <w:sz w:val="18"/>
                <w:szCs w:val="18"/>
              </w:rPr>
              <w:t>June 20, 2024</w:t>
            </w:r>
          </w:p>
        </w:tc>
      </w:tr>
      <w:tr w14:paraId="3D323885"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0F3C5254" w14:textId="77777777">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4" w:space="0" w:color="auto"/>
            </w:tcBorders>
          </w:tcPr>
          <w:p w:rsidR="00857EA0" w:rsidP="00857EA0" w14:paraId="182F1172"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60BD0D57"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4FB5B505" w14:textId="77777777">
            <w:pPr>
              <w:pStyle w:val="DisclaimerHeading"/>
              <w:spacing w:before="40" w:after="40" w:line="220" w:lineRule="exact"/>
              <w:jc w:val="center"/>
              <w:rPr>
                <w:b w:val="0"/>
                <w:color w:val="auto"/>
                <w:sz w:val="18"/>
                <w:szCs w:val="18"/>
              </w:rPr>
            </w:pPr>
            <w:r>
              <w:rPr>
                <w:b w:val="0"/>
                <w:color w:val="auto"/>
                <w:sz w:val="18"/>
                <w:szCs w:val="18"/>
              </w:rPr>
              <w:t>July 12, 2024</w:t>
            </w:r>
          </w:p>
        </w:tc>
        <w:tc>
          <w:tcPr>
            <w:tcW w:w="1604" w:type="dxa"/>
            <w:tcBorders>
              <w:top w:val="single" w:sz="4" w:space="0" w:color="auto"/>
              <w:left w:val="single" w:sz="4" w:space="0" w:color="auto"/>
              <w:right w:val="single" w:sz="4" w:space="0" w:color="auto"/>
            </w:tcBorders>
          </w:tcPr>
          <w:p w:rsidR="00857EA0" w:rsidP="00857EA0" w14:paraId="08EE68AC" w14:textId="77777777">
            <w:pPr>
              <w:pStyle w:val="DisclaimerHeading"/>
              <w:spacing w:before="40" w:after="40" w:line="220" w:lineRule="exact"/>
              <w:jc w:val="center"/>
              <w:rPr>
                <w:b w:val="0"/>
                <w:color w:val="auto"/>
                <w:sz w:val="18"/>
                <w:szCs w:val="18"/>
              </w:rPr>
            </w:pPr>
            <w:r>
              <w:rPr>
                <w:b w:val="0"/>
                <w:color w:val="auto"/>
                <w:sz w:val="18"/>
                <w:szCs w:val="18"/>
              </w:rPr>
              <w:t>July 17, 2024</w:t>
            </w:r>
          </w:p>
        </w:tc>
      </w:tr>
      <w:tr w14:paraId="33EAC5CF"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4AAF1C55" w14:textId="77777777">
            <w:pPr>
              <w:pStyle w:val="DisclaimerHeading"/>
              <w:spacing w:before="40" w:after="40" w:line="220" w:lineRule="exact"/>
              <w:rPr>
                <w:bCs/>
                <w:sz w:val="18"/>
                <w:szCs w:val="18"/>
              </w:rPr>
            </w:pPr>
            <w:r>
              <w:rPr>
                <w:bCs/>
                <w:sz w:val="18"/>
                <w:szCs w:val="18"/>
              </w:rPr>
              <w:t>August 21, 2024</w:t>
            </w:r>
          </w:p>
        </w:tc>
        <w:tc>
          <w:tcPr>
            <w:tcW w:w="900" w:type="dxa"/>
            <w:tcBorders>
              <w:top w:val="single" w:sz="4" w:space="0" w:color="auto"/>
              <w:left w:val="single" w:sz="4" w:space="0" w:color="auto"/>
              <w:right w:val="single" w:sz="4" w:space="0" w:color="auto"/>
            </w:tcBorders>
          </w:tcPr>
          <w:p w:rsidR="00857EA0" w:rsidP="00857EA0" w14:paraId="3ADED6C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11E33BDC"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557C220A" w14:textId="77777777">
            <w:pPr>
              <w:pStyle w:val="DisclaimerHeading"/>
              <w:spacing w:before="40" w:after="40" w:line="220" w:lineRule="exact"/>
              <w:jc w:val="center"/>
              <w:rPr>
                <w:b w:val="0"/>
                <w:color w:val="auto"/>
                <w:sz w:val="18"/>
                <w:szCs w:val="18"/>
              </w:rPr>
            </w:pPr>
            <w:r>
              <w:rPr>
                <w:b w:val="0"/>
                <w:color w:val="auto"/>
                <w:sz w:val="18"/>
                <w:szCs w:val="18"/>
              </w:rPr>
              <w:t>August 9, 2024</w:t>
            </w:r>
          </w:p>
        </w:tc>
        <w:tc>
          <w:tcPr>
            <w:tcW w:w="1604" w:type="dxa"/>
            <w:tcBorders>
              <w:top w:val="single" w:sz="4" w:space="0" w:color="auto"/>
              <w:left w:val="single" w:sz="4" w:space="0" w:color="auto"/>
              <w:right w:val="single" w:sz="4" w:space="0" w:color="auto"/>
            </w:tcBorders>
          </w:tcPr>
          <w:p w:rsidR="00857EA0" w:rsidP="00857EA0" w14:paraId="1632BF8A" w14:textId="77777777">
            <w:pPr>
              <w:pStyle w:val="DisclaimerHeading"/>
              <w:spacing w:before="40" w:after="40" w:line="220" w:lineRule="exact"/>
              <w:jc w:val="center"/>
              <w:rPr>
                <w:b w:val="0"/>
                <w:color w:val="auto"/>
                <w:sz w:val="18"/>
                <w:szCs w:val="18"/>
              </w:rPr>
            </w:pPr>
            <w:r>
              <w:rPr>
                <w:b w:val="0"/>
                <w:color w:val="auto"/>
                <w:sz w:val="18"/>
                <w:szCs w:val="18"/>
              </w:rPr>
              <w:t>August 14, 2024</w:t>
            </w:r>
          </w:p>
        </w:tc>
      </w:tr>
      <w:tr w14:paraId="23D6FDF4"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0B36446"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4" w:space="0" w:color="auto"/>
            </w:tcBorders>
          </w:tcPr>
          <w:p w:rsidR="00857EA0" w:rsidP="00857EA0" w14:paraId="0D1AB59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54B5F5E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3A70BF6"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04" w:type="dxa"/>
            <w:tcBorders>
              <w:top w:val="single" w:sz="4" w:space="0" w:color="auto"/>
              <w:left w:val="single" w:sz="4" w:space="0" w:color="auto"/>
              <w:right w:val="single" w:sz="4" w:space="0" w:color="auto"/>
            </w:tcBorders>
          </w:tcPr>
          <w:p w:rsidR="00857EA0" w:rsidP="00857EA0" w14:paraId="1A82B7EF"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0F58D7C5"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09D940FA"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right w:val="single" w:sz="4" w:space="0" w:color="auto"/>
            </w:tcBorders>
          </w:tcPr>
          <w:p w:rsidR="00857EA0" w:rsidP="00857EA0" w14:paraId="6E9E674C"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4DEDBC7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34639312"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04" w:type="dxa"/>
            <w:tcBorders>
              <w:top w:val="single" w:sz="4" w:space="0" w:color="auto"/>
              <w:left w:val="single" w:sz="4" w:space="0" w:color="auto"/>
              <w:right w:val="single" w:sz="4" w:space="0" w:color="auto"/>
            </w:tcBorders>
          </w:tcPr>
          <w:p w:rsidR="00857EA0" w:rsidP="00857EA0" w14:paraId="6B0DE6B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64BD2E56"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E5A5996"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4" w:space="0" w:color="auto"/>
            </w:tcBorders>
          </w:tcPr>
          <w:p w:rsidR="00857EA0" w:rsidP="00857EA0" w14:paraId="4B2BB219"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665C446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7CB9A6D1"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04" w:type="dxa"/>
            <w:tcBorders>
              <w:top w:val="single" w:sz="4" w:space="0" w:color="auto"/>
              <w:left w:val="single" w:sz="4" w:space="0" w:color="auto"/>
              <w:right w:val="single" w:sz="4" w:space="0" w:color="auto"/>
            </w:tcBorders>
          </w:tcPr>
          <w:p w:rsidR="00857EA0" w:rsidP="00857EA0" w14:paraId="794199FB"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1EB21E7B"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48A798B2"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4" w:space="0" w:color="auto"/>
            </w:tcBorders>
          </w:tcPr>
          <w:p w:rsidR="00857EA0" w:rsidP="00857EA0" w14:paraId="6099BD61"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05030E7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14F28CC"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right w:val="single" w:sz="4" w:space="0" w:color="auto"/>
            </w:tcBorders>
          </w:tcPr>
          <w:p w:rsidR="00857EA0" w:rsidP="00857EA0" w14:paraId="34DD0914"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324822D6"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46D3088" w14:textId="77777777">
      <w:pPr>
        <w:pStyle w:val="Author"/>
      </w:pPr>
    </w:p>
    <w:p w:rsidR="00B62597" w:rsidP="00337321" w14:paraId="3BEB7B24" w14:textId="3869694C">
      <w:pPr>
        <w:pStyle w:val="Author"/>
      </w:pPr>
      <w:r>
        <w:t xml:space="preserve">Author: </w:t>
      </w:r>
      <w:r w:rsidR="00857EA0">
        <w:t xml:space="preserve">M. Greening </w:t>
      </w:r>
    </w:p>
    <w:p w:rsidR="00A42740" w:rsidP="00337321" w14:paraId="3EF95C4E" w14:textId="6B1BA10D">
      <w:pPr>
        <w:pStyle w:val="Author"/>
      </w:pPr>
    </w:p>
    <w:p w:rsidR="00A42740" w:rsidP="00337321" w14:paraId="1DFE58C6" w14:textId="77777777">
      <w:pPr>
        <w:pStyle w:val="Author"/>
      </w:pPr>
    </w:p>
    <w:p w:rsidR="00A317A9" w:rsidRPr="00B62597" w:rsidP="00337321" w14:paraId="53DFF496" w14:textId="77777777">
      <w:pPr>
        <w:pStyle w:val="Author"/>
      </w:pPr>
    </w:p>
    <w:p w:rsidR="00B62597" w:rsidRPr="00B62597" w:rsidP="00DB29E9" w14:paraId="51B6F688" w14:textId="77777777">
      <w:pPr>
        <w:pStyle w:val="DisclaimerHeading"/>
      </w:pPr>
      <w:r>
        <w:t>Anti</w:t>
      </w:r>
      <w:r w:rsidRPr="00B62597">
        <w:t>trust:</w:t>
      </w:r>
    </w:p>
    <w:p w:rsidR="00B62597" w:rsidP="00491490" w14:paraId="731CA9A7" w14:textId="4F7EBCBA">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2DA55B3D" w14:textId="6D095939">
      <w:pPr>
        <w:pStyle w:val="DisclaimerHeading"/>
        <w:spacing w:before="240"/>
      </w:pPr>
      <w:r w:rsidRPr="00B62597">
        <w:t>Code of Conduct:</w:t>
      </w:r>
    </w:p>
    <w:p w:rsidR="004F3D57" w:rsidRPr="00B62597" w:rsidP="004F3D57" w14:paraId="3BA9F878"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B62597" w:rsidRPr="00B62597" w:rsidP="004F3D57" w14:paraId="02ADEE1C" w14:textId="77777777">
      <w:pPr>
        <w:pStyle w:val="DisclaimerHeading"/>
        <w:spacing w:before="240"/>
      </w:pPr>
      <w:r w:rsidRPr="00B62597">
        <w:t xml:space="preserve">Public Meetings/Media Participation: </w:t>
      </w:r>
    </w:p>
    <w:p w:rsidR="00DE34CF" w:rsidP="00337321" w14:paraId="65946BD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9F9A50C" w14:textId="77777777">
      <w:pPr>
        <w:pStyle w:val="DisclaimerHeading"/>
        <w:spacing w:before="240"/>
      </w:pPr>
      <w:r>
        <w:t xml:space="preserve">Participant Identification in </w:t>
      </w:r>
      <w:r w:rsidR="00711249">
        <w:t>Webex</w:t>
      </w:r>
      <w:r>
        <w:t>:</w:t>
      </w:r>
    </w:p>
    <w:p w:rsidR="00027F49" w:rsidP="00027F49" w14:paraId="493D7F99"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754D9F0"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D399F5B" w14:textId="77777777">
      <w:pPr>
        <w:pStyle w:val="DisclaimerHeading"/>
        <w:spacing w:before="240"/>
      </w:pPr>
      <w:r w:rsidRPr="00D827A6">
        <w:t>Participant Use of Webex Chat:</w:t>
      </w:r>
    </w:p>
    <w:p w:rsidR="00D827A6" w:rsidP="00D827A6" w14:paraId="56A357B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369432D" w14:textId="77777777">
      <w:pPr>
        <w:pStyle w:val="DisclaimerBodyCopy"/>
      </w:pPr>
    </w:p>
    <w:p w:rsidR="00027F49" w:rsidP="00027F49" w14:paraId="0842EF91" w14:textId="77777777">
      <w:pPr>
        <w:pStyle w:val="DisclosureBody"/>
      </w:pPr>
    </w:p>
    <w:p w:rsidR="00027F49" w:rsidP="00027F49" w14:paraId="0AED357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14:paraId="4928DB04" w14:textId="77777777">
      <w:pPr>
        <w:pStyle w:val="DisclaimerHeading"/>
      </w:pPr>
    </w:p>
    <w:p w:rsidR="00027F49" w:rsidRPr="009C15C4" w:rsidP="00027F49" w14:paraId="3F66F88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14:paraId="6C5A19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CD2BB5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8387E4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A5148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C1C20EA" w14:textId="371C174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E1445">
      <w:rPr>
        <w:rStyle w:val="PageNumber"/>
        <w:noProof/>
      </w:rPr>
      <w:t>3</w:t>
    </w:r>
    <w:r>
      <w:rPr>
        <w:rStyle w:val="PageNumber"/>
      </w:rPr>
      <w:fldChar w:fldCharType="end"/>
    </w:r>
  </w:p>
  <w:bookmarkStart w:id="3" w:name="OLE_LINK1"/>
  <w:p w:rsidR="00B62597" w:rsidRPr="001678E8" w14:paraId="3E279629"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94C5D96" w14:textId="72B340B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B89B96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857EA0">
      <w:t xml:space="preserve"> </w:t>
    </w:r>
    <w:r w:rsidR="00024530">
      <w:t>May 15</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E4180DC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FD0E4A"/>
    <w:multiLevelType w:val="hybridMultilevel"/>
    <w:tmpl w:val="BA8C049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195981"/>
    <w:multiLevelType w:val="hybridMultilevel"/>
    <w:tmpl w:val="CE66D278"/>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921AFB"/>
    <w:multiLevelType w:val="hybridMultilevel"/>
    <w:tmpl w:val="79F888B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C0620B86"/>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5"/>
  </w:num>
  <w:num w:numId="3">
    <w:abstractNumId w:val="0"/>
  </w:num>
  <w:num w:numId="4">
    <w:abstractNumId w:val="3"/>
  </w:num>
  <w:num w:numId="5">
    <w:abstractNumId w:val="2"/>
  </w:num>
  <w:num w:numId="6">
    <w:abstractNumId w:val="5"/>
  </w:num>
  <w:num w:numId="7">
    <w:abstractNumId w:val="5"/>
  </w:num>
  <w:num w:numId="8">
    <w:abstractNumId w:val="5"/>
  </w:num>
  <w:num w:numId="9">
    <w:abstractNumId w:val="6"/>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232DF"/>
    <w:rsid w:val="00024530"/>
    <w:rsid w:val="00026A70"/>
    <w:rsid w:val="00027F49"/>
    <w:rsid w:val="000333FF"/>
    <w:rsid w:val="00035E27"/>
    <w:rsid w:val="00046389"/>
    <w:rsid w:val="000538D7"/>
    <w:rsid w:val="0006798D"/>
    <w:rsid w:val="00070C90"/>
    <w:rsid w:val="00092135"/>
    <w:rsid w:val="0009340B"/>
    <w:rsid w:val="00096230"/>
    <w:rsid w:val="000A6305"/>
    <w:rsid w:val="000A712C"/>
    <w:rsid w:val="000B6A2F"/>
    <w:rsid w:val="00117AF9"/>
    <w:rsid w:val="0012069F"/>
    <w:rsid w:val="00121F58"/>
    <w:rsid w:val="00140B58"/>
    <w:rsid w:val="00144A91"/>
    <w:rsid w:val="00144C0A"/>
    <w:rsid w:val="001678E8"/>
    <w:rsid w:val="00170E02"/>
    <w:rsid w:val="00175A86"/>
    <w:rsid w:val="001B2242"/>
    <w:rsid w:val="001B4664"/>
    <w:rsid w:val="001C0CC0"/>
    <w:rsid w:val="001D3B68"/>
    <w:rsid w:val="001E44F9"/>
    <w:rsid w:val="00200A1B"/>
    <w:rsid w:val="00207F54"/>
    <w:rsid w:val="002113BD"/>
    <w:rsid w:val="0025139E"/>
    <w:rsid w:val="002B2CB6"/>
    <w:rsid w:val="002B2F98"/>
    <w:rsid w:val="002B52A8"/>
    <w:rsid w:val="002C6057"/>
    <w:rsid w:val="002D4F43"/>
    <w:rsid w:val="002E1FA4"/>
    <w:rsid w:val="002F5845"/>
    <w:rsid w:val="002F6131"/>
    <w:rsid w:val="003025A6"/>
    <w:rsid w:val="00305238"/>
    <w:rsid w:val="00317034"/>
    <w:rsid w:val="003220CF"/>
    <w:rsid w:val="003251CE"/>
    <w:rsid w:val="00337321"/>
    <w:rsid w:val="003421B4"/>
    <w:rsid w:val="00373E5F"/>
    <w:rsid w:val="00394850"/>
    <w:rsid w:val="00396120"/>
    <w:rsid w:val="003A33F5"/>
    <w:rsid w:val="003B55E1"/>
    <w:rsid w:val="003B6ACD"/>
    <w:rsid w:val="003C17E2"/>
    <w:rsid w:val="003C3320"/>
    <w:rsid w:val="003C781D"/>
    <w:rsid w:val="003D0889"/>
    <w:rsid w:val="003D7E5C"/>
    <w:rsid w:val="003E7A73"/>
    <w:rsid w:val="003F046E"/>
    <w:rsid w:val="0046043F"/>
    <w:rsid w:val="00491490"/>
    <w:rsid w:val="00494494"/>
    <w:rsid w:val="004969FA"/>
    <w:rsid w:val="004C36CC"/>
    <w:rsid w:val="004C6E71"/>
    <w:rsid w:val="004E1445"/>
    <w:rsid w:val="004F23E4"/>
    <w:rsid w:val="004F3D57"/>
    <w:rsid w:val="00500143"/>
    <w:rsid w:val="00500336"/>
    <w:rsid w:val="0050064E"/>
    <w:rsid w:val="00510E66"/>
    <w:rsid w:val="00515E8C"/>
    <w:rsid w:val="00523993"/>
    <w:rsid w:val="00527104"/>
    <w:rsid w:val="00530902"/>
    <w:rsid w:val="00541512"/>
    <w:rsid w:val="00553627"/>
    <w:rsid w:val="00564DEE"/>
    <w:rsid w:val="00566BFC"/>
    <w:rsid w:val="0057441E"/>
    <w:rsid w:val="005A24FE"/>
    <w:rsid w:val="005A3B8F"/>
    <w:rsid w:val="005A5D0D"/>
    <w:rsid w:val="005B43BD"/>
    <w:rsid w:val="005D6D05"/>
    <w:rsid w:val="005F281C"/>
    <w:rsid w:val="006024A0"/>
    <w:rsid w:val="00602967"/>
    <w:rsid w:val="00606F11"/>
    <w:rsid w:val="00614326"/>
    <w:rsid w:val="00644DB5"/>
    <w:rsid w:val="00680537"/>
    <w:rsid w:val="006C738F"/>
    <w:rsid w:val="006D565A"/>
    <w:rsid w:val="006E29AA"/>
    <w:rsid w:val="006F2800"/>
    <w:rsid w:val="006F41FA"/>
    <w:rsid w:val="006F7A52"/>
    <w:rsid w:val="00711249"/>
    <w:rsid w:val="00712CAA"/>
    <w:rsid w:val="00716A8B"/>
    <w:rsid w:val="00730F76"/>
    <w:rsid w:val="00744A45"/>
    <w:rsid w:val="007530E1"/>
    <w:rsid w:val="0075340F"/>
    <w:rsid w:val="00754C6D"/>
    <w:rsid w:val="00755096"/>
    <w:rsid w:val="007642DD"/>
    <w:rsid w:val="007703B4"/>
    <w:rsid w:val="00777623"/>
    <w:rsid w:val="00783399"/>
    <w:rsid w:val="007941A3"/>
    <w:rsid w:val="007A34A3"/>
    <w:rsid w:val="007B0BA7"/>
    <w:rsid w:val="007C2954"/>
    <w:rsid w:val="007C693B"/>
    <w:rsid w:val="007D2072"/>
    <w:rsid w:val="007D4F70"/>
    <w:rsid w:val="007E7CAB"/>
    <w:rsid w:val="00802FA6"/>
    <w:rsid w:val="00813B57"/>
    <w:rsid w:val="00837B12"/>
    <w:rsid w:val="00841282"/>
    <w:rsid w:val="008552A3"/>
    <w:rsid w:val="00857EA0"/>
    <w:rsid w:val="00863C39"/>
    <w:rsid w:val="0088143E"/>
    <w:rsid w:val="00882652"/>
    <w:rsid w:val="00895181"/>
    <w:rsid w:val="008D5CDB"/>
    <w:rsid w:val="008F499A"/>
    <w:rsid w:val="00911156"/>
    <w:rsid w:val="00914902"/>
    <w:rsid w:val="00915FA7"/>
    <w:rsid w:val="00917386"/>
    <w:rsid w:val="009244F9"/>
    <w:rsid w:val="0094488B"/>
    <w:rsid w:val="0095194C"/>
    <w:rsid w:val="00962D54"/>
    <w:rsid w:val="0097702E"/>
    <w:rsid w:val="00984018"/>
    <w:rsid w:val="00991528"/>
    <w:rsid w:val="009A5430"/>
    <w:rsid w:val="009C15C4"/>
    <w:rsid w:val="009C5AC2"/>
    <w:rsid w:val="009C70BA"/>
    <w:rsid w:val="009C7250"/>
    <w:rsid w:val="009D39D5"/>
    <w:rsid w:val="009D7613"/>
    <w:rsid w:val="009E0DA4"/>
    <w:rsid w:val="009F53F9"/>
    <w:rsid w:val="009F6D09"/>
    <w:rsid w:val="00A004A8"/>
    <w:rsid w:val="00A05391"/>
    <w:rsid w:val="00A05D00"/>
    <w:rsid w:val="00A265E1"/>
    <w:rsid w:val="00A317A9"/>
    <w:rsid w:val="00A36FEA"/>
    <w:rsid w:val="00A41149"/>
    <w:rsid w:val="00A42740"/>
    <w:rsid w:val="00A56D57"/>
    <w:rsid w:val="00A64108"/>
    <w:rsid w:val="00A82E9D"/>
    <w:rsid w:val="00A877E0"/>
    <w:rsid w:val="00A931C3"/>
    <w:rsid w:val="00AB6AB9"/>
    <w:rsid w:val="00AB6C53"/>
    <w:rsid w:val="00AC2247"/>
    <w:rsid w:val="00AC24BF"/>
    <w:rsid w:val="00AD14E4"/>
    <w:rsid w:val="00AD78F1"/>
    <w:rsid w:val="00AE41E2"/>
    <w:rsid w:val="00AE7815"/>
    <w:rsid w:val="00B11670"/>
    <w:rsid w:val="00B16D95"/>
    <w:rsid w:val="00B20316"/>
    <w:rsid w:val="00B34E3C"/>
    <w:rsid w:val="00B42FAE"/>
    <w:rsid w:val="00B62597"/>
    <w:rsid w:val="00BA6146"/>
    <w:rsid w:val="00BB213B"/>
    <w:rsid w:val="00BB531B"/>
    <w:rsid w:val="00BB6921"/>
    <w:rsid w:val="00BE255C"/>
    <w:rsid w:val="00BF331B"/>
    <w:rsid w:val="00C064FE"/>
    <w:rsid w:val="00C10A93"/>
    <w:rsid w:val="00C11F0A"/>
    <w:rsid w:val="00C22988"/>
    <w:rsid w:val="00C31DF8"/>
    <w:rsid w:val="00C36E16"/>
    <w:rsid w:val="00C439EC"/>
    <w:rsid w:val="00C5307B"/>
    <w:rsid w:val="00C60669"/>
    <w:rsid w:val="00C72168"/>
    <w:rsid w:val="00C757F4"/>
    <w:rsid w:val="00C759B4"/>
    <w:rsid w:val="00C75A9D"/>
    <w:rsid w:val="00C97B37"/>
    <w:rsid w:val="00CA0006"/>
    <w:rsid w:val="00CA20E8"/>
    <w:rsid w:val="00CA49B9"/>
    <w:rsid w:val="00CB19DE"/>
    <w:rsid w:val="00CB475B"/>
    <w:rsid w:val="00CC1B47"/>
    <w:rsid w:val="00CD1E89"/>
    <w:rsid w:val="00CE451E"/>
    <w:rsid w:val="00D00233"/>
    <w:rsid w:val="00D06EC8"/>
    <w:rsid w:val="00D07E32"/>
    <w:rsid w:val="00D136EA"/>
    <w:rsid w:val="00D23BC7"/>
    <w:rsid w:val="00D251ED"/>
    <w:rsid w:val="00D3539B"/>
    <w:rsid w:val="00D477E1"/>
    <w:rsid w:val="00D827A6"/>
    <w:rsid w:val="00D831E4"/>
    <w:rsid w:val="00D95949"/>
    <w:rsid w:val="00DA23DE"/>
    <w:rsid w:val="00DB29E9"/>
    <w:rsid w:val="00DB61C7"/>
    <w:rsid w:val="00DD6DF5"/>
    <w:rsid w:val="00DE34CF"/>
    <w:rsid w:val="00DE77B9"/>
    <w:rsid w:val="00DF1112"/>
    <w:rsid w:val="00E01E4B"/>
    <w:rsid w:val="00E05815"/>
    <w:rsid w:val="00E1605D"/>
    <w:rsid w:val="00E26839"/>
    <w:rsid w:val="00E32B6B"/>
    <w:rsid w:val="00E5387A"/>
    <w:rsid w:val="00E55E84"/>
    <w:rsid w:val="00EA6EAD"/>
    <w:rsid w:val="00EB68B0"/>
    <w:rsid w:val="00ED3033"/>
    <w:rsid w:val="00F355A1"/>
    <w:rsid w:val="00F4190F"/>
    <w:rsid w:val="00F47890"/>
    <w:rsid w:val="00F47CA9"/>
    <w:rsid w:val="00F5077C"/>
    <w:rsid w:val="00FA5955"/>
    <w:rsid w:val="00FB1739"/>
    <w:rsid w:val="00FB72E0"/>
    <w:rsid w:val="00FC2B9A"/>
    <w:rsid w:val="00FC34C2"/>
    <w:rsid w:val="00FC42FD"/>
    <w:rsid w:val="00FC602B"/>
    <w:rsid w:val="00FF1817"/>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B9A25E"/>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issue-tracking/issue-tracking-details.aspx?Issue=812954bd-f360-41a0-835c-e2e052f1993a" TargetMode="External" /><Relationship Id="rId5" Type="http://schemas.openxmlformats.org/officeDocument/2006/relationships/hyperlink" Target="https://www.pjm.com/committees-and-groups/issue-tracking/issue-tracking-details-non-stakeholder.aspx?Issue=379d285d-eefa-4cb5-94b8-7547bf4d787f" TargetMode="External" /><Relationship Id="rId6" Type="http://schemas.openxmlformats.org/officeDocument/2006/relationships/hyperlink" Target="https://pjm.com/committees-and-groups/issue-tracking/issue-tracking-details.aspx?Issue=7e4d5cb0-8418-4117-b6e0-1e20f48aa7b0" TargetMode="External" /><Relationship Id="rId7" Type="http://schemas.openxmlformats.org/officeDocument/2006/relationships/hyperlink" Target="https://www.pjm.com/committees-and-groups/issue-tracking/issue-tracking-details.aspx?Issue=e3c8385c-0638-4a1d-a5d2-8b1a2a87c295"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