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27E179A7">
      <w:pPr>
        <w:pStyle w:val="MeetingDetails"/>
      </w:pPr>
      <w:r>
        <w:t>Markets &amp; Reliability Committee</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6129B22A">
      <w:pPr>
        <w:pStyle w:val="MeetingDetails"/>
      </w:pPr>
      <w:r>
        <w:t>May 21</w:t>
      </w:r>
      <w:r w:rsidRPr="001B4664" w:rsidR="00132A7B">
        <w:t>, 202</w:t>
      </w:r>
      <w:r w:rsidR="00B835F6">
        <w:t>5</w:t>
      </w:r>
    </w:p>
    <w:p w:rsidR="00857EA0" w:rsidRPr="00AE7815" w:rsidP="00857EA0" w14:paraId="1DCE19B1" w14:textId="0574D207">
      <w:pPr>
        <w:pStyle w:val="MeetingDetails"/>
      </w:pPr>
      <w:r w:rsidRPr="00616BC9">
        <w:t>9:00 a.</w:t>
      </w:r>
      <w:r w:rsidRPr="0048557A">
        <w:t xml:space="preserve">m. </w:t>
      </w:r>
      <w:r w:rsidRPr="00E82436">
        <w:t>–</w:t>
      </w:r>
      <w:r w:rsidRPr="00E82436" w:rsidR="00D07247">
        <w:t xml:space="preserve"> </w:t>
      </w:r>
      <w:r w:rsidR="001E3A2A">
        <w:t>11:15</w:t>
      </w:r>
      <w:r w:rsidRPr="00E82436" w:rsidR="00E82436">
        <w:t xml:space="preserve"> a.m</w:t>
      </w:r>
      <w:r w:rsidRPr="00E82436">
        <w:t>.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509B55AF">
      <w:pPr>
        <w:pStyle w:val="PrimaryHeading"/>
        <w:rPr>
          <w:caps/>
        </w:rPr>
      </w:pPr>
      <w:bookmarkStart w:id="0" w:name="OLE_LINK5"/>
      <w:bookmarkStart w:id="1" w:name="OLE_LINK3"/>
      <w:r w:rsidRPr="00527104">
        <w:t>Adm</w:t>
      </w:r>
      <w:r w:rsidRPr="007C2954">
        <w:t>inistrati</w:t>
      </w:r>
      <w:r w:rsidRPr="00527104">
        <w:t>on (</w:t>
      </w:r>
      <w:r w:rsidR="00857EA0">
        <w:t>9:00-9:</w:t>
      </w:r>
      <w:r w:rsidR="00E87C04">
        <w:t>0</w:t>
      </w:r>
      <w:r w:rsidR="00AF79EA">
        <w:t>5</w:t>
      </w:r>
      <w:r w:rsidRPr="00527104">
        <w:t>)</w:t>
      </w:r>
    </w:p>
    <w:bookmarkEnd w:id="0"/>
    <w:bookmarkEnd w:id="1"/>
    <w:p w:rsidR="00B62597" w:rsidRPr="00331D7F" w:rsidP="00331D7F" w14:paraId="6109E83A" w14:textId="54E03615">
      <w:pPr>
        <w:pStyle w:val="ListSubhead1"/>
        <w:rPr>
          <w:b w:val="0"/>
        </w:rPr>
      </w:pPr>
      <w:r w:rsidRPr="00331D7F">
        <w:rPr>
          <w:b w:val="0"/>
        </w:rPr>
        <w:t xml:space="preserve">Welcome, announcements and Anti-trust, Code of Conduct, and Public Meetings/Media Participation – Lisa Drauschak and Dave Anders  </w:t>
      </w:r>
    </w:p>
    <w:p w:rsidR="00857EA0" w:rsidRPr="00DB29E9" w:rsidP="00857EA0" w14:paraId="541EED49" w14:textId="53EAF7F4">
      <w:pPr>
        <w:pStyle w:val="PrimaryHeading"/>
        <w:spacing w:before="120" w:after="200"/>
      </w:pPr>
      <w:r>
        <w:t>Consent Agenda (9:05-9:10</w:t>
      </w:r>
      <w:r w:rsidR="00355E5A">
        <w:t>)</w:t>
      </w:r>
    </w:p>
    <w:p w:rsidR="00E94E2D" w:rsidP="008E33E8" w14:paraId="475F35CC" w14:textId="22069221">
      <w:pPr>
        <w:pStyle w:val="SecondaryHeading-Numbered"/>
        <w:numPr>
          <w:ilvl w:val="0"/>
          <w:numId w:val="3"/>
        </w:numPr>
        <w:rPr>
          <w:b w:val="0"/>
        </w:rPr>
      </w:pPr>
      <w:r w:rsidRPr="00E85808">
        <w:rPr>
          <w:u w:val="single"/>
        </w:rPr>
        <w:t>Approve</w:t>
      </w:r>
      <w:r w:rsidRPr="00E01E4B">
        <w:t xml:space="preserve"> </w:t>
      </w:r>
      <w:r w:rsidRPr="00E85808">
        <w:rPr>
          <w:b w:val="0"/>
        </w:rPr>
        <w:t xml:space="preserve">minutes of the </w:t>
      </w:r>
      <w:r w:rsidR="00F45D32">
        <w:rPr>
          <w:b w:val="0"/>
        </w:rPr>
        <w:t>April 23</w:t>
      </w:r>
      <w:r w:rsidR="00E87C04">
        <w:rPr>
          <w:b w:val="0"/>
        </w:rPr>
        <w:t>, 2025</w:t>
      </w:r>
      <w:r w:rsidRPr="00E85808">
        <w:rPr>
          <w:b w:val="0"/>
        </w:rPr>
        <w:t xml:space="preserve"> meeting of the Markets and Reliability Committee</w:t>
      </w:r>
      <w:r w:rsidRPr="00E85808" w:rsidR="0050064E">
        <w:rPr>
          <w:b w:val="0"/>
        </w:rPr>
        <w:t xml:space="preserve"> (MRC)</w:t>
      </w:r>
      <w:r>
        <w:rPr>
          <w:b w:val="0"/>
        </w:rPr>
        <w:t>.</w:t>
      </w:r>
    </w:p>
    <w:p w:rsidR="00F45D32" w:rsidP="00F45D32" w14:paraId="1674E4DC" w14:textId="1609F8C1">
      <w:pPr>
        <w:pStyle w:val="ListSubhead1"/>
        <w:numPr>
          <w:ilvl w:val="0"/>
          <w:numId w:val="3"/>
        </w:numPr>
        <w:spacing w:before="120" w:after="0"/>
        <w:rPr>
          <w:b w:val="0"/>
        </w:rPr>
      </w:pPr>
      <w:r w:rsidRPr="00F45D32">
        <w:rPr>
          <w:u w:val="single"/>
        </w:rPr>
        <w:t>Endorse</w:t>
      </w:r>
      <w:r>
        <w:rPr>
          <w:b w:val="0"/>
        </w:rPr>
        <w:t xml:space="preserve"> proposed revisions to Manual 01: Control Center and Data Exchange Requirements to align with NERC Standard EOP-008 and the PJM TO/TOP Matrix.  </w:t>
      </w:r>
    </w:p>
    <w:p w:rsidR="00F45D32" w:rsidP="00F45D32" w14:paraId="1D7C8339" w14:textId="50C0545B">
      <w:pPr>
        <w:pStyle w:val="ListSubhead1"/>
        <w:numPr>
          <w:ilvl w:val="0"/>
          <w:numId w:val="3"/>
        </w:numPr>
        <w:spacing w:before="120" w:after="0"/>
        <w:rPr>
          <w:b w:val="0"/>
        </w:rPr>
      </w:pPr>
      <w:r>
        <w:rPr>
          <w:u w:val="single"/>
        </w:rPr>
        <w:t>Endorse</w:t>
      </w:r>
      <w:r>
        <w:rPr>
          <w:b w:val="0"/>
        </w:rPr>
        <w:t xml:space="preserve"> proposed revisions to Manual 03: Transmission Operations resulting from its periodic review. </w:t>
      </w:r>
    </w:p>
    <w:p w:rsidR="00F45D32" w:rsidP="00F45D32" w14:paraId="4CC2D721" w14:textId="2D4EB120">
      <w:pPr>
        <w:pStyle w:val="ListSubhead1"/>
        <w:numPr>
          <w:ilvl w:val="0"/>
          <w:numId w:val="3"/>
        </w:numPr>
        <w:spacing w:before="120" w:after="0"/>
        <w:rPr>
          <w:b w:val="0"/>
        </w:rPr>
      </w:pPr>
      <w:r>
        <w:rPr>
          <w:u w:val="single"/>
        </w:rPr>
        <w:t>Endorse</w:t>
      </w:r>
      <w:r w:rsidRPr="00C81100">
        <w:rPr>
          <w:b w:val="0"/>
        </w:rPr>
        <w:t xml:space="preserve"> conforming revisions to Manual 6: Financial Transmission Rights, Manual 11: Energy &amp; Ancillary Services Market Operations, Manual 28: Operating Agreement Accounting, and Manual 29: Billing </w:t>
      </w:r>
      <w:r>
        <w:rPr>
          <w:b w:val="0"/>
        </w:rPr>
        <w:t>addressing</w:t>
      </w:r>
      <w:r w:rsidRPr="00C81100">
        <w:rPr>
          <w:b w:val="0"/>
        </w:rPr>
        <w:t xml:space="preserve"> rules related to market suspension </w:t>
      </w:r>
      <w:r>
        <w:rPr>
          <w:b w:val="0"/>
        </w:rPr>
        <w:t>in FERC Docket No. ER23- 1431</w:t>
      </w:r>
      <w:r w:rsidRPr="00C81100">
        <w:rPr>
          <w:b w:val="0"/>
        </w:rPr>
        <w:t>.</w:t>
      </w:r>
    </w:p>
    <w:p w:rsidR="00F45D32" w:rsidP="00F45D32" w14:paraId="69C3FA62" w14:textId="77777777">
      <w:pPr>
        <w:pStyle w:val="ListSubhead1"/>
        <w:numPr>
          <w:ilvl w:val="0"/>
          <w:numId w:val="0"/>
        </w:numPr>
        <w:ind w:left="720"/>
        <w:rPr>
          <w:b w:val="0"/>
        </w:rPr>
      </w:pPr>
      <w:hyperlink r:id="rId4" w:history="1">
        <w:r w:rsidRPr="00473C65">
          <w:rPr>
            <w:rStyle w:val="Hyperlink"/>
            <w:b w:val="0"/>
          </w:rPr>
          <w:t>Issue Tracking: Rules Related to Market Suspension</w:t>
        </w:r>
      </w:hyperlink>
      <w:r>
        <w:rPr>
          <w:b w:val="0"/>
        </w:rPr>
        <w:t xml:space="preserve"> </w:t>
      </w:r>
    </w:p>
    <w:p w:rsidR="00F45D32" w:rsidRPr="00C81100" w:rsidP="00F45D32" w14:paraId="1E6962F0" w14:textId="1EF8D345">
      <w:pPr>
        <w:pStyle w:val="ListSubhead1"/>
        <w:numPr>
          <w:ilvl w:val="0"/>
          <w:numId w:val="3"/>
        </w:numPr>
        <w:spacing w:before="120"/>
        <w:rPr>
          <w:b w:val="0"/>
        </w:rPr>
      </w:pPr>
      <w:r>
        <w:rPr>
          <w:u w:val="single"/>
        </w:rPr>
        <w:t>Endorse</w:t>
      </w:r>
      <w:r>
        <w:rPr>
          <w:b w:val="0"/>
        </w:rPr>
        <w:t xml:space="preserve"> proposed revisions to Manual 36: System Restoration resulting from its periodic review.</w:t>
      </w:r>
    </w:p>
    <w:p w:rsidR="001D3B68" w:rsidRPr="00523993" w:rsidP="007C2954" w14:paraId="66E3093C" w14:textId="29F1ADF5">
      <w:pPr>
        <w:pStyle w:val="PrimaryHeading"/>
        <w:rPr>
          <w:b w:val="0"/>
          <w:color w:val="FF0000"/>
        </w:rPr>
      </w:pPr>
      <w:r>
        <w:t xml:space="preserve">Endorsements </w:t>
      </w:r>
      <w:r w:rsidR="00915FA7">
        <w:t>(9</w:t>
      </w:r>
      <w:r w:rsidR="000A59DC">
        <w:t>:1</w:t>
      </w:r>
      <w:r w:rsidRPr="00AE7815" w:rsidR="00915FA7">
        <w:t>0</w:t>
      </w:r>
      <w:r w:rsidRPr="001332D9" w:rsidR="00E000EB">
        <w:t>-</w:t>
      </w:r>
      <w:r w:rsidR="001E3A2A">
        <w:t>10:00</w:t>
      </w:r>
      <w:r w:rsidRPr="001332D9" w:rsidR="001332D9">
        <w:t>)</w:t>
      </w:r>
    </w:p>
    <w:p w:rsidR="00F45D32" w:rsidRPr="00F7148D" w:rsidP="00F45D32" w14:paraId="0252F5DC" w14:textId="58C31326">
      <w:pPr>
        <w:pStyle w:val="ListSubhead1"/>
        <w:rPr>
          <w:b w:val="0"/>
          <w:u w:val="single"/>
        </w:rPr>
      </w:pPr>
      <w:r w:rsidRPr="00F7148D">
        <w:rPr>
          <w:b w:val="0"/>
          <w:u w:val="single"/>
        </w:rPr>
        <w:t xml:space="preserve">ELCC </w:t>
      </w:r>
      <w:r>
        <w:rPr>
          <w:b w:val="0"/>
          <w:u w:val="single"/>
        </w:rPr>
        <w:t xml:space="preserve">Data Transparency and CETL </w:t>
      </w:r>
      <w:r w:rsidRPr="00F7148D">
        <w:rPr>
          <w:b w:val="0"/>
          <w:u w:val="single"/>
        </w:rPr>
        <w:t>(</w:t>
      </w:r>
      <w:r>
        <w:rPr>
          <w:b w:val="0"/>
          <w:u w:val="single"/>
        </w:rPr>
        <w:t>9:10-9:40</w:t>
      </w:r>
      <w:r w:rsidRPr="00F7148D">
        <w:rPr>
          <w:b w:val="0"/>
          <w:u w:val="single"/>
        </w:rPr>
        <w:t>)</w:t>
      </w:r>
    </w:p>
    <w:p w:rsidR="00F45D32" w:rsidRPr="00F7148D" w:rsidP="00F45D32" w14:paraId="1DFA7F7B" w14:textId="5CDCF356">
      <w:pPr>
        <w:pStyle w:val="ListSubhead1"/>
        <w:numPr>
          <w:ilvl w:val="0"/>
          <w:numId w:val="6"/>
        </w:numPr>
        <w:tabs>
          <w:tab w:val="clear" w:pos="0"/>
          <w:tab w:val="left" w:pos="360"/>
        </w:tabs>
        <w:rPr>
          <w:rStyle w:val="Hyperlink"/>
          <w:b w:val="0"/>
          <w:color w:val="auto"/>
        </w:rPr>
      </w:pPr>
      <w:r>
        <w:rPr>
          <w:b w:val="0"/>
        </w:rPr>
        <w:t xml:space="preserve">Josh Bruno will review a proposed solution package addressing data transparency reforms and corresponding manual revisions. </w:t>
      </w:r>
      <w:r w:rsidRPr="00F45D32">
        <w:t>The committee will be asked to endorse the data transparency solution and corresponding manual revisions.</w:t>
      </w:r>
    </w:p>
    <w:p w:rsidR="00F45D32" w:rsidRPr="00E87CCA" w:rsidP="00F45D32" w14:paraId="2DF94190" w14:textId="07AF6EA9">
      <w:pPr>
        <w:pStyle w:val="ListSubhead1"/>
        <w:numPr>
          <w:ilvl w:val="0"/>
          <w:numId w:val="6"/>
        </w:numPr>
        <w:tabs>
          <w:tab w:val="clear" w:pos="0"/>
          <w:tab w:val="left" w:pos="360"/>
        </w:tabs>
        <w:rPr>
          <w:b w:val="0"/>
          <w:u w:val="single"/>
        </w:rPr>
      </w:pPr>
      <w:r>
        <w:rPr>
          <w:b w:val="0"/>
        </w:rPr>
        <w:t xml:space="preserve">Tom Hoatson, </w:t>
      </w:r>
      <w:r w:rsidRPr="00A7708D">
        <w:rPr>
          <w:b w:val="0"/>
        </w:rPr>
        <w:t>Rolling Hills Generating, LLC</w:t>
      </w:r>
      <w:r>
        <w:rPr>
          <w:b w:val="0"/>
        </w:rPr>
        <w:t xml:space="preserve">, will move and Adrien Ford, </w:t>
      </w:r>
      <w:r w:rsidRPr="00A7708D">
        <w:rPr>
          <w:b w:val="0"/>
        </w:rPr>
        <w:t>Constellation Energy Generation, LLC</w:t>
      </w:r>
      <w:r>
        <w:rPr>
          <w:b w:val="0"/>
        </w:rPr>
        <w:t xml:space="preserve">, will second a motion to defer consideration of the ELCCSTF CETL Issue Charge until a later time. </w:t>
      </w:r>
      <w:r w:rsidRPr="00F45D32">
        <w:t>The committee will be asked to endorse the motion to defer.</w:t>
      </w:r>
      <w:r>
        <w:rPr>
          <w:b w:val="0"/>
        </w:rPr>
        <w:t xml:space="preserve"> </w:t>
      </w:r>
    </w:p>
    <w:p w:rsidR="00F45D32" w:rsidP="00F45D32" w14:paraId="4E550DC6" w14:textId="77777777">
      <w:pPr>
        <w:pStyle w:val="ListSubhead1"/>
        <w:numPr>
          <w:ilvl w:val="0"/>
          <w:numId w:val="0"/>
        </w:numPr>
        <w:tabs>
          <w:tab w:val="clear" w:pos="0"/>
          <w:tab w:val="left" w:pos="360"/>
        </w:tabs>
        <w:spacing w:after="0"/>
        <w:ind w:left="360"/>
        <w:rPr>
          <w:b w:val="0"/>
        </w:rPr>
      </w:pPr>
      <w:hyperlink r:id="rId5" w:history="1">
        <w:r w:rsidRPr="00E87CCA">
          <w:rPr>
            <w:rStyle w:val="Hyperlink"/>
            <w:b w:val="0"/>
          </w:rPr>
          <w:t>Issue Tracking: Capacity Market Enhancements – Data Transparency</w:t>
        </w:r>
      </w:hyperlink>
    </w:p>
    <w:p w:rsidR="00F45D32" w:rsidP="001E3A2A" w14:paraId="2FFE4451" w14:textId="03F43CA2">
      <w:pPr>
        <w:pStyle w:val="ListSubhead1"/>
        <w:numPr>
          <w:ilvl w:val="0"/>
          <w:numId w:val="0"/>
        </w:numPr>
        <w:tabs>
          <w:tab w:val="clear" w:pos="0"/>
          <w:tab w:val="left" w:pos="360"/>
          <w:tab w:val="left" w:pos="6290"/>
        </w:tabs>
        <w:ind w:left="360"/>
        <w:rPr>
          <w:rStyle w:val="Hyperlink"/>
          <w:b w:val="0"/>
        </w:rPr>
      </w:pPr>
      <w:hyperlink r:id="rId6" w:history="1">
        <w:r w:rsidRPr="00E87CCA">
          <w:rPr>
            <w:rStyle w:val="Hyperlink"/>
            <w:b w:val="0"/>
          </w:rPr>
          <w:t>Issue Tracking: Capacity Market Enhancements - CETL</w:t>
        </w:r>
      </w:hyperlink>
    </w:p>
    <w:p w:rsidR="00A4508B" w:rsidRPr="00A4508B" w:rsidP="00A4508B" w14:paraId="06E56813" w14:textId="4E361472">
      <w:pPr>
        <w:pStyle w:val="PrimaryHeading"/>
        <w:rPr>
          <w:color w:val="FF0000"/>
        </w:rPr>
      </w:pPr>
      <w:r w:rsidRPr="00A4508B">
        <w:rPr>
          <w:color w:val="FF0000"/>
        </w:rPr>
        <w:t>First Readings (</w:t>
      </w:r>
      <w:r w:rsidRPr="00A4508B">
        <w:rPr>
          <w:color w:val="FF0000"/>
        </w:rPr>
        <w:t>9:40</w:t>
      </w:r>
      <w:r w:rsidRPr="00A4508B">
        <w:rPr>
          <w:color w:val="FF0000"/>
        </w:rPr>
        <w:t>-11:15)</w:t>
      </w:r>
    </w:p>
    <w:p w:rsidR="001E3A2A" w:rsidRPr="001E3A2A" w:rsidP="001E3A2A" w14:paraId="6525D6A6" w14:textId="65A10209">
      <w:pPr>
        <w:pStyle w:val="ListSubhead1"/>
        <w:rPr>
          <w:b w:val="0"/>
          <w:u w:val="single"/>
        </w:rPr>
      </w:pPr>
      <w:r w:rsidRPr="001E3A2A">
        <w:rPr>
          <w:b w:val="0"/>
          <w:u w:val="single"/>
        </w:rPr>
        <w:t>Storage Integration (Phase II): Transmission Asse</w:t>
      </w:r>
      <w:bookmarkStart w:id="2" w:name="_GoBack"/>
      <w:bookmarkEnd w:id="2"/>
      <w:r w:rsidRPr="001E3A2A">
        <w:rPr>
          <w:b w:val="0"/>
          <w:u w:val="single"/>
        </w:rPr>
        <w:t>t Utilization in Operations (</w:t>
      </w:r>
      <w:r>
        <w:rPr>
          <w:b w:val="0"/>
          <w:u w:val="single"/>
        </w:rPr>
        <w:t>9:40-10:00</w:t>
      </w:r>
      <w:r w:rsidRPr="001E3A2A">
        <w:rPr>
          <w:b w:val="0"/>
          <w:u w:val="single"/>
        </w:rPr>
        <w:t xml:space="preserve">) </w:t>
      </w:r>
    </w:p>
    <w:p w:rsidR="001E3A2A" w:rsidP="001E3A2A" w14:paraId="63AB4535" w14:textId="4B6E2DE9">
      <w:pPr>
        <w:pStyle w:val="ListSubhead1"/>
        <w:numPr>
          <w:ilvl w:val="0"/>
          <w:numId w:val="0"/>
        </w:numPr>
        <w:tabs>
          <w:tab w:val="clear" w:pos="0"/>
          <w:tab w:val="left" w:pos="360"/>
          <w:tab w:val="left" w:pos="6290"/>
        </w:tabs>
        <w:ind w:left="360"/>
        <w:rPr>
          <w:b w:val="0"/>
        </w:rPr>
      </w:pPr>
      <w:r w:rsidRPr="001E3A2A">
        <w:rPr>
          <w:b w:val="0"/>
        </w:rPr>
        <w:t>Dave Anders will review a proposed problem statement and issue charge addressing operations utilization for storage as a transmission asset.</w:t>
      </w:r>
      <w:r>
        <w:t xml:space="preserve"> </w:t>
      </w:r>
      <w:r w:rsidRPr="00A4508B">
        <w:rPr>
          <w:b w:val="0"/>
        </w:rPr>
        <w:t>The committee will be asked to approve the draft issue charge</w:t>
      </w:r>
      <w:r w:rsidRPr="00A4508B" w:rsidR="00A4508B">
        <w:rPr>
          <w:b w:val="0"/>
        </w:rPr>
        <w:t xml:space="preserve"> </w:t>
      </w:r>
      <w:r w:rsidRPr="00A4508B" w:rsidR="00A4508B">
        <w:rPr>
          <w:b w:val="0"/>
          <w:color w:val="FF0000"/>
        </w:rPr>
        <w:t>at its next meeting</w:t>
      </w:r>
      <w:r>
        <w:t>.</w:t>
      </w:r>
    </w:p>
    <w:p w:rsidR="00601BDB" w:rsidRPr="00A4508B" w:rsidP="00601BDB" w14:paraId="28D1FB1F" w14:textId="5874747F">
      <w:pPr>
        <w:pStyle w:val="PrimaryHeading"/>
        <w:rPr>
          <w:strike/>
          <w:color w:val="FF0000"/>
        </w:rPr>
      </w:pPr>
      <w:r w:rsidRPr="00A4508B">
        <w:rPr>
          <w:strike/>
          <w:color w:val="FF0000"/>
        </w:rPr>
        <w:t>First Readings</w:t>
      </w:r>
      <w:r w:rsidRPr="00A4508B" w:rsidR="00606F11">
        <w:rPr>
          <w:strike/>
          <w:color w:val="FF0000"/>
        </w:rPr>
        <w:t xml:space="preserve"> </w:t>
      </w:r>
      <w:r w:rsidRPr="00A4508B" w:rsidR="001D3B68">
        <w:rPr>
          <w:strike/>
          <w:color w:val="FF0000"/>
        </w:rPr>
        <w:t>(</w:t>
      </w:r>
      <w:r w:rsidRPr="00A4508B" w:rsidR="001E3A2A">
        <w:rPr>
          <w:strike/>
          <w:color w:val="FF0000"/>
        </w:rPr>
        <w:t>10:00-11:15</w:t>
      </w:r>
      <w:r w:rsidRPr="00A4508B" w:rsidR="001D3B68">
        <w:rPr>
          <w:strike/>
          <w:color w:val="FF0000"/>
        </w:rPr>
        <w:t>)</w:t>
      </w:r>
    </w:p>
    <w:p w:rsidR="00C74E1A" w:rsidRPr="00C74E1A" w:rsidP="00694232" w14:paraId="390F5B38" w14:textId="414CAD0C">
      <w:pPr>
        <w:pStyle w:val="ListSubhead1"/>
        <w:rPr>
          <w:b w:val="0"/>
          <w:u w:val="single"/>
        </w:rPr>
      </w:pPr>
      <w:r w:rsidRPr="00C74E1A">
        <w:rPr>
          <w:b w:val="0"/>
          <w:u w:val="single"/>
        </w:rPr>
        <w:t xml:space="preserve">Governing </w:t>
      </w:r>
      <w:r>
        <w:rPr>
          <w:b w:val="0"/>
          <w:u w:val="single"/>
        </w:rPr>
        <w:t>Document Clarifying Revisions (</w:t>
      </w:r>
      <w:r w:rsidR="001E3A2A">
        <w:rPr>
          <w:b w:val="0"/>
          <w:u w:val="single"/>
        </w:rPr>
        <w:t>10:00-10:15</w:t>
      </w:r>
      <w:r w:rsidRPr="00C74E1A">
        <w:rPr>
          <w:b w:val="0"/>
          <w:u w:val="single"/>
        </w:rPr>
        <w:t xml:space="preserve">) </w:t>
      </w:r>
    </w:p>
    <w:p w:rsidR="007E56D9" w:rsidRPr="00C74E1A" w:rsidP="00C74E1A" w14:paraId="37453DDF" w14:textId="2BBB4143">
      <w:pPr>
        <w:pStyle w:val="ListSubhead1"/>
        <w:numPr>
          <w:ilvl w:val="0"/>
          <w:numId w:val="0"/>
        </w:numPr>
        <w:ind w:left="360"/>
        <w:rPr>
          <w:b w:val="0"/>
          <w:u w:val="single"/>
        </w:rPr>
      </w:pPr>
      <w:r w:rsidRPr="00C74E1A">
        <w:rPr>
          <w:b w:val="0"/>
        </w:rPr>
        <w:t xml:space="preserve">Michele Greening will review proposed Tariff, Reliability Assurance Agreement (RAA), and OA revisions as endorsed by the Governing Documents Enhancements and Clarifications Subcommittee </w:t>
      </w:r>
      <w:r>
        <w:rPr>
          <w:b w:val="0"/>
        </w:rPr>
        <w:t>(GDECS)</w:t>
      </w:r>
      <w:r w:rsidRPr="00C74E1A">
        <w:rPr>
          <w:b w:val="0"/>
        </w:rPr>
        <w:t>. The committee will be asked to endorse/approve the proposed Tariff, RAA, and OA revisions at its next meeting.</w:t>
      </w:r>
    </w:p>
    <w:p w:rsidR="007E56D9" w:rsidP="00694232" w14:paraId="170641A8" w14:textId="4DF286E4">
      <w:pPr>
        <w:pStyle w:val="ListSubhead1"/>
        <w:rPr>
          <w:b w:val="0"/>
          <w:u w:val="single"/>
        </w:rPr>
      </w:pPr>
      <w:r>
        <w:rPr>
          <w:b w:val="0"/>
          <w:u w:val="single"/>
        </w:rPr>
        <w:t>Operating Reserves Clarification (</w:t>
      </w:r>
      <w:r w:rsidR="001E3A2A">
        <w:rPr>
          <w:b w:val="0"/>
          <w:u w:val="single"/>
        </w:rPr>
        <w:t>10:15-11:00</w:t>
      </w:r>
      <w:r>
        <w:rPr>
          <w:b w:val="0"/>
          <w:u w:val="single"/>
        </w:rPr>
        <w:t>)</w:t>
      </w:r>
    </w:p>
    <w:p w:rsidR="007E56D9" w:rsidRPr="007E56D9" w:rsidP="007E56D9" w14:paraId="0B92DA60" w14:textId="6780032C">
      <w:pPr>
        <w:pStyle w:val="ListSubhead1"/>
        <w:numPr>
          <w:ilvl w:val="0"/>
          <w:numId w:val="0"/>
        </w:numPr>
        <w:ind w:left="360"/>
        <w:rPr>
          <w:b w:val="0"/>
          <w:u w:val="single"/>
        </w:rPr>
      </w:pPr>
      <w:r w:rsidRPr="007E56D9">
        <w:rPr>
          <w:b w:val="0"/>
        </w:rPr>
        <w:t xml:space="preserve">Lisa Morelli will review the PJM/IMM proposal regarding Operating Reserve Clarification Credit Reform. The committee will be asked to endorse the </w:t>
      </w:r>
      <w:r>
        <w:rPr>
          <w:b w:val="0"/>
        </w:rPr>
        <w:t xml:space="preserve">propsed solution and corresponding Tariff </w:t>
      </w:r>
      <w:r w:rsidRPr="007E56D9">
        <w:rPr>
          <w:b w:val="0"/>
        </w:rPr>
        <w:t xml:space="preserve">revisions at </w:t>
      </w:r>
      <w:r>
        <w:rPr>
          <w:b w:val="0"/>
        </w:rPr>
        <w:t>its</w:t>
      </w:r>
      <w:r w:rsidRPr="007E56D9">
        <w:rPr>
          <w:b w:val="0"/>
        </w:rPr>
        <w:t xml:space="preserve"> next meeting.</w:t>
      </w:r>
    </w:p>
    <w:p w:rsidR="00A91815" w:rsidRPr="00F7148D" w:rsidP="00694232" w14:paraId="2B622F67" w14:textId="7F418304">
      <w:pPr>
        <w:pStyle w:val="ListSubhead1"/>
        <w:rPr>
          <w:b w:val="0"/>
          <w:u w:val="single"/>
        </w:rPr>
      </w:pPr>
      <w:r w:rsidRPr="00F7148D">
        <w:rPr>
          <w:b w:val="0"/>
          <w:u w:val="single"/>
        </w:rPr>
        <w:t>Manuals (</w:t>
      </w:r>
      <w:r w:rsidR="00D07AC6">
        <w:rPr>
          <w:b w:val="0"/>
          <w:u w:val="single"/>
        </w:rPr>
        <w:t>11:00-11:10</w:t>
      </w:r>
      <w:r w:rsidRPr="00F7148D" w:rsidR="00696C62">
        <w:rPr>
          <w:b w:val="0"/>
          <w:u w:val="single"/>
        </w:rPr>
        <w:t>)</w:t>
      </w:r>
      <w:r w:rsidRPr="00F7148D" w:rsidR="00B267D9">
        <w:rPr>
          <w:b w:val="0"/>
          <w:u w:val="single"/>
        </w:rPr>
        <w:t xml:space="preserve">  </w:t>
      </w:r>
    </w:p>
    <w:p w:rsidR="007E56D9" w:rsidRPr="007E56D9" w:rsidP="0029097E" w14:paraId="3CDB72B6" w14:textId="4A676E3E">
      <w:pPr>
        <w:pStyle w:val="ListSubhead1"/>
        <w:numPr>
          <w:ilvl w:val="0"/>
          <w:numId w:val="4"/>
        </w:numPr>
        <w:spacing w:before="120" w:after="0"/>
        <w:rPr>
          <w:b w:val="0"/>
        </w:rPr>
      </w:pPr>
      <w:r>
        <w:rPr>
          <w:b w:val="0"/>
        </w:rPr>
        <w:t xml:space="preserve">Logan </w:t>
      </w:r>
      <w:r w:rsidRPr="00D07AC6">
        <w:rPr>
          <w:b w:val="0"/>
        </w:rPr>
        <w:t>Fetterhoff</w:t>
      </w:r>
      <w:r w:rsidRPr="007E56D9">
        <w:rPr>
          <w:b w:val="0"/>
        </w:rPr>
        <w:t xml:space="preserve"> will review revisions to Manual 12: Balancing Operations resulting from its periodic review</w:t>
      </w:r>
      <w:r>
        <w:rPr>
          <w:b w:val="0"/>
        </w:rPr>
        <w:t xml:space="preserve"> and</w:t>
      </w:r>
      <w:r w:rsidRPr="007E56D9">
        <w:rPr>
          <w:b w:val="0"/>
        </w:rPr>
        <w:t xml:space="preserve"> conforming to the FERC Order (Docket # ER25-1095) addressing market rules around hybrid resources. The committee will be asked to endorse these revisions at its next meeting. </w:t>
      </w:r>
    </w:p>
    <w:p w:rsidR="00473C65" w:rsidRPr="00B84361" w:rsidP="009D2CC7" w14:paraId="12398F8D" w14:textId="59F5278B">
      <w:pPr>
        <w:pStyle w:val="ListSubhead1"/>
        <w:numPr>
          <w:ilvl w:val="0"/>
          <w:numId w:val="0"/>
        </w:numPr>
        <w:ind w:left="720"/>
        <w:rPr>
          <w:b w:val="0"/>
        </w:rPr>
      </w:pPr>
      <w:hyperlink r:id="rId7" w:history="1">
        <w:r w:rsidRPr="00C74E1A" w:rsidR="007E56D9">
          <w:rPr>
            <w:rStyle w:val="Hyperlink"/>
            <w:b w:val="0"/>
          </w:rPr>
          <w:t>Issue Tracking: Hybrid Resources Enhancements (Hybrids Phase 3)</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1E3A2A" w14:paraId="5CB52243" w14:textId="47D9BAA9">
            <w:pPr>
              <w:pStyle w:val="PrimaryHeading"/>
              <w:spacing w:after="0"/>
            </w:pPr>
            <w:r w:rsidRPr="0095194C">
              <w:rPr>
                <w:b/>
              </w:rPr>
              <w:t xml:space="preserve">Future Agenda </w:t>
            </w:r>
            <w:r w:rsidR="00F0521D">
              <w:rPr>
                <w:b/>
              </w:rPr>
              <w:t>Items (</w:t>
            </w:r>
            <w:r w:rsidR="001E3A2A">
              <w:rPr>
                <w:b/>
              </w:rPr>
              <w:t>11:15</w:t>
            </w:r>
            <w:r w:rsidR="00E94D03">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7F66A4C"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A2AA4FF" w14:textId="0CBF6FA2">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21087474" w14:textId="03E49B58">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C6837E2" w14:textId="75D789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2534BB12" w14:textId="5B8F3D18">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2F97B27" w14:textId="042CA8C4">
            <w:pPr>
              <w:pStyle w:val="DisclaimerHeading"/>
              <w:spacing w:before="40" w:after="40" w:line="220" w:lineRule="exact"/>
              <w:jc w:val="center"/>
              <w:rPr>
                <w:b w:val="0"/>
                <w:color w:val="auto"/>
                <w:sz w:val="18"/>
                <w:szCs w:val="18"/>
              </w:rPr>
            </w:pPr>
            <w:r>
              <w:rPr>
                <w:b w:val="0"/>
                <w:color w:val="auto"/>
                <w:sz w:val="18"/>
                <w:szCs w:val="18"/>
              </w:rPr>
              <w:t>June 11, 2025</w:t>
            </w:r>
          </w:p>
        </w:tc>
      </w:tr>
      <w:tr w14:paraId="321A8A2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5D0685EA" w14:textId="109189E9">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5E4C3ADF" w14:textId="1013C285">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D7B6730" w14:textId="0F3D9BC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72325EAC" w14:textId="386DA685">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1166DC35" w14:textId="69661354">
            <w:pPr>
              <w:pStyle w:val="DisclaimerHeading"/>
              <w:spacing w:before="40" w:after="40" w:line="220" w:lineRule="exact"/>
              <w:jc w:val="center"/>
              <w:rPr>
                <w:b w:val="0"/>
                <w:color w:val="auto"/>
                <w:sz w:val="18"/>
                <w:szCs w:val="18"/>
              </w:rPr>
            </w:pPr>
            <w:r>
              <w:rPr>
                <w:b w:val="0"/>
                <w:color w:val="auto"/>
                <w:sz w:val="18"/>
                <w:szCs w:val="18"/>
              </w:rPr>
              <w:t>July 16, 2025</w:t>
            </w:r>
          </w:p>
        </w:tc>
      </w:tr>
      <w:tr w14:paraId="5ADEDDC3"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3240ACD" w14:textId="0C19ADB6">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18BF0ACE" w14:textId="79BC7256">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740E3A61" w14:textId="0018680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0E29F43" w14:textId="66166D59">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04A946" w14:textId="77A9F248">
            <w:pPr>
              <w:pStyle w:val="DisclaimerHeading"/>
              <w:spacing w:before="40" w:after="40" w:line="220" w:lineRule="exact"/>
              <w:jc w:val="center"/>
              <w:rPr>
                <w:b w:val="0"/>
                <w:color w:val="auto"/>
                <w:sz w:val="18"/>
                <w:szCs w:val="18"/>
              </w:rPr>
            </w:pPr>
            <w:r>
              <w:rPr>
                <w:b w:val="0"/>
                <w:color w:val="auto"/>
                <w:sz w:val="18"/>
                <w:szCs w:val="18"/>
              </w:rPr>
              <w:t>August 13, 2025</w:t>
            </w:r>
          </w:p>
        </w:tc>
      </w:tr>
      <w:tr w14:paraId="41E3416F"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4101A0B" w14:textId="5DD6B506">
            <w:pPr>
              <w:pStyle w:val="DisclaimerHeading"/>
              <w:spacing w:before="40" w:after="40" w:line="220" w:lineRule="exact"/>
              <w:rPr>
                <w:bCs/>
                <w:sz w:val="18"/>
                <w:szCs w:val="18"/>
              </w:rPr>
            </w:pPr>
            <w:r>
              <w:rPr>
                <w:bCs/>
                <w:sz w:val="18"/>
                <w:szCs w:val="18"/>
              </w:rPr>
              <w:t>September 25,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8C3E46D" w14:textId="090FE6F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E1EE791" w14:textId="51841C9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2A66177" w14:textId="76B0161E">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73F6107B" w14:textId="3C65B812">
            <w:pPr>
              <w:pStyle w:val="DisclaimerHeading"/>
              <w:spacing w:before="40" w:after="40" w:line="220" w:lineRule="exact"/>
              <w:jc w:val="center"/>
              <w:rPr>
                <w:b w:val="0"/>
                <w:color w:val="auto"/>
                <w:sz w:val="18"/>
                <w:szCs w:val="18"/>
              </w:rPr>
            </w:pPr>
            <w:r>
              <w:rPr>
                <w:b w:val="0"/>
                <w:color w:val="auto"/>
                <w:sz w:val="18"/>
                <w:szCs w:val="18"/>
              </w:rPr>
              <w:t>September 24, 2025</w:t>
            </w:r>
          </w:p>
        </w:tc>
      </w:tr>
      <w:tr w14:paraId="17E9462D"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10BFB2E4" w14:textId="7AE1C57D">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53E8C5A" w14:textId="6F111B6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6B9B2306" w14:textId="46F5465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399B7E36" w14:textId="5380A9E9">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D45C026" w14:textId="3CAF03B4">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AD3BD86"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773E075" w14:textId="1C542631">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376B934" w14:textId="0CF3769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1CABCB6C" w14:textId="48E673A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05A7A550" w14:textId="55628A59">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0B7D8E96" w14:textId="0F931750">
            <w:pPr>
              <w:pStyle w:val="DisclaimerHeading"/>
              <w:spacing w:before="40" w:after="40" w:line="220" w:lineRule="exact"/>
              <w:jc w:val="center"/>
              <w:rPr>
                <w:b w:val="0"/>
                <w:color w:val="auto"/>
                <w:sz w:val="18"/>
                <w:szCs w:val="18"/>
              </w:rPr>
            </w:pPr>
            <w:r>
              <w:rPr>
                <w:b w:val="0"/>
                <w:color w:val="auto"/>
                <w:sz w:val="18"/>
                <w:szCs w:val="18"/>
              </w:rPr>
              <w:t>November 13, 2025</w:t>
            </w:r>
          </w:p>
        </w:tc>
      </w:tr>
      <w:tr w14:paraId="38F194D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4711B7E7" w14:textId="5CABD72A">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0DC8E486" w14:textId="33CAF91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6EF3A6B8" w14:textId="34871F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144FC9F9" w14:textId="11E29F3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540402F0" w14:textId="1968D345">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745379" w14:paraId="33878479" w14:textId="77777777">
      <w:pPr>
        <w:rPr>
          <w:rFonts w:ascii="Arial Narrow" w:eastAsia="Times New Roman" w:hAnsi="Arial Narrow" w:cs="Times New Roman"/>
          <w:b/>
          <w:color w:val="013C59"/>
          <w:sz w:val="16"/>
          <w:szCs w:val="16"/>
        </w:rPr>
      </w:pPr>
      <w:r>
        <w:br w:type="page"/>
      </w:r>
    </w:p>
    <w:p w:rsidR="004F3D57" w:rsidRPr="00B62597" w:rsidP="004F3D57" w14:paraId="75E3B9D7" w14:textId="4B631773">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79FFCF0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4508B">
      <w:rPr>
        <w:rStyle w:val="PageNumber"/>
        <w:noProof/>
      </w:rPr>
      <w:t>4</w:t>
    </w:r>
    <w:r>
      <w:rPr>
        <w:rStyle w:val="PageNumber"/>
      </w:rPr>
      <w:fldChar w:fldCharType="end"/>
    </w:r>
  </w:p>
  <w:bookmarkStart w:id="3" w:name="OLE_LINK1"/>
  <w:p w:rsidR="00B62597" w:rsidRPr="001678E8" w14:paraId="305BC964" w14:textId="7DA016A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44B8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0BFD13A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F45D32">
      <w:t>May 14</w:t>
    </w:r>
    <w:r w:rsidR="00857EA0">
      <w:t>, 202</w:t>
    </w:r>
    <w:r w:rsidR="00B835F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76AE698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646A11"/>
    <w:multiLevelType w:val="hybridMultilevel"/>
    <w:tmpl w:val="CCF6A1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1E86087"/>
    <w:multiLevelType w:val="hybridMultilevel"/>
    <w:tmpl w:val="21AAEC40"/>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5A3539D"/>
    <w:multiLevelType w:val="hybridMultilevel"/>
    <w:tmpl w:val="D5DAB7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BCF2442"/>
    <w:multiLevelType w:val="hybridMultilevel"/>
    <w:tmpl w:val="63AC1B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A11985"/>
    <w:multiLevelType w:val="hybridMultilevel"/>
    <w:tmpl w:val="9A5ADD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12A2B5F"/>
    <w:multiLevelType w:val="hybridMultilevel"/>
    <w:tmpl w:val="4C305916"/>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5"/>
  </w:num>
  <w:num w:numId="6">
    <w:abstractNumId w:val="6"/>
  </w:num>
  <w:num w:numId="7">
    <w:abstractNumId w:val="3"/>
  </w:num>
  <w:num w:numId="8">
    <w:abstractNumId w:val="3"/>
  </w:num>
  <w:num w:numId="9">
    <w:abstractNumId w:val="4"/>
  </w:num>
  <w:num w:numId="10">
    <w:abstractNumId w:val="3"/>
  </w:num>
  <w:num w:numId="11">
    <w:abstractNumId w:val="2"/>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177E6"/>
    <w:rsid w:val="000232DF"/>
    <w:rsid w:val="00024530"/>
    <w:rsid w:val="00026A70"/>
    <w:rsid w:val="00027F49"/>
    <w:rsid w:val="00031DE7"/>
    <w:rsid w:val="000333FF"/>
    <w:rsid w:val="00035E27"/>
    <w:rsid w:val="00046389"/>
    <w:rsid w:val="000538D7"/>
    <w:rsid w:val="00057FF8"/>
    <w:rsid w:val="00065755"/>
    <w:rsid w:val="00065F49"/>
    <w:rsid w:val="0006798D"/>
    <w:rsid w:val="00070C90"/>
    <w:rsid w:val="00071222"/>
    <w:rsid w:val="000801F8"/>
    <w:rsid w:val="000910DC"/>
    <w:rsid w:val="00092135"/>
    <w:rsid w:val="0009340B"/>
    <w:rsid w:val="00096230"/>
    <w:rsid w:val="000968D8"/>
    <w:rsid w:val="00096FF6"/>
    <w:rsid w:val="000A59DC"/>
    <w:rsid w:val="000A6305"/>
    <w:rsid w:val="000A712C"/>
    <w:rsid w:val="000A739E"/>
    <w:rsid w:val="000B3970"/>
    <w:rsid w:val="000B6A2F"/>
    <w:rsid w:val="000D2D3B"/>
    <w:rsid w:val="000D3513"/>
    <w:rsid w:val="000E15D3"/>
    <w:rsid w:val="000E40F1"/>
    <w:rsid w:val="000E74CB"/>
    <w:rsid w:val="001053D4"/>
    <w:rsid w:val="00117AF9"/>
    <w:rsid w:val="0012069F"/>
    <w:rsid w:val="00121F58"/>
    <w:rsid w:val="001251CB"/>
    <w:rsid w:val="00132A7B"/>
    <w:rsid w:val="001332D9"/>
    <w:rsid w:val="001407C3"/>
    <w:rsid w:val="00140B58"/>
    <w:rsid w:val="00144A91"/>
    <w:rsid w:val="00144C0A"/>
    <w:rsid w:val="001554CF"/>
    <w:rsid w:val="00166DA3"/>
    <w:rsid w:val="001678E8"/>
    <w:rsid w:val="00170AB7"/>
    <w:rsid w:val="00170E02"/>
    <w:rsid w:val="00175A86"/>
    <w:rsid w:val="00177ED5"/>
    <w:rsid w:val="0018123C"/>
    <w:rsid w:val="0019000D"/>
    <w:rsid w:val="001A0F35"/>
    <w:rsid w:val="001B2242"/>
    <w:rsid w:val="001B4664"/>
    <w:rsid w:val="001C0CC0"/>
    <w:rsid w:val="001C6BD0"/>
    <w:rsid w:val="001D3B68"/>
    <w:rsid w:val="001E3A2A"/>
    <w:rsid w:val="001E44F9"/>
    <w:rsid w:val="001F1241"/>
    <w:rsid w:val="001F62C3"/>
    <w:rsid w:val="00200A1B"/>
    <w:rsid w:val="00203EDE"/>
    <w:rsid w:val="0020765B"/>
    <w:rsid w:val="00207BFA"/>
    <w:rsid w:val="00207F54"/>
    <w:rsid w:val="002113BD"/>
    <w:rsid w:val="00222F9B"/>
    <w:rsid w:val="00237B1D"/>
    <w:rsid w:val="002421F8"/>
    <w:rsid w:val="0025139E"/>
    <w:rsid w:val="002645A2"/>
    <w:rsid w:val="0029097E"/>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3025A6"/>
    <w:rsid w:val="00305238"/>
    <w:rsid w:val="00317034"/>
    <w:rsid w:val="003220CF"/>
    <w:rsid w:val="003236AB"/>
    <w:rsid w:val="003251CE"/>
    <w:rsid w:val="00331D7F"/>
    <w:rsid w:val="00336295"/>
    <w:rsid w:val="00337321"/>
    <w:rsid w:val="00341747"/>
    <w:rsid w:val="003421B4"/>
    <w:rsid w:val="00345F35"/>
    <w:rsid w:val="003467FF"/>
    <w:rsid w:val="00355D4D"/>
    <w:rsid w:val="00355E5A"/>
    <w:rsid w:val="003650D3"/>
    <w:rsid w:val="00367787"/>
    <w:rsid w:val="00367877"/>
    <w:rsid w:val="003679A3"/>
    <w:rsid w:val="00371D9E"/>
    <w:rsid w:val="00373E5F"/>
    <w:rsid w:val="003753A1"/>
    <w:rsid w:val="00391AE7"/>
    <w:rsid w:val="00394850"/>
    <w:rsid w:val="00395918"/>
    <w:rsid w:val="00396120"/>
    <w:rsid w:val="003A33F5"/>
    <w:rsid w:val="003B089A"/>
    <w:rsid w:val="003B44C5"/>
    <w:rsid w:val="003B55E1"/>
    <w:rsid w:val="003B6ACD"/>
    <w:rsid w:val="003C17E2"/>
    <w:rsid w:val="003C3320"/>
    <w:rsid w:val="003C781D"/>
    <w:rsid w:val="003D0889"/>
    <w:rsid w:val="003D7E5C"/>
    <w:rsid w:val="003E0024"/>
    <w:rsid w:val="003E243E"/>
    <w:rsid w:val="003E7A73"/>
    <w:rsid w:val="003F046E"/>
    <w:rsid w:val="003F1C3A"/>
    <w:rsid w:val="003F396B"/>
    <w:rsid w:val="00404818"/>
    <w:rsid w:val="00411BF1"/>
    <w:rsid w:val="00412222"/>
    <w:rsid w:val="004218B2"/>
    <w:rsid w:val="00433384"/>
    <w:rsid w:val="00435D79"/>
    <w:rsid w:val="004459B9"/>
    <w:rsid w:val="00451D92"/>
    <w:rsid w:val="00453AE9"/>
    <w:rsid w:val="00454A9D"/>
    <w:rsid w:val="00460114"/>
    <w:rsid w:val="0046043F"/>
    <w:rsid w:val="00473C65"/>
    <w:rsid w:val="00476CB4"/>
    <w:rsid w:val="00484742"/>
    <w:rsid w:val="0048557A"/>
    <w:rsid w:val="0049086E"/>
    <w:rsid w:val="00491490"/>
    <w:rsid w:val="00494494"/>
    <w:rsid w:val="004969FA"/>
    <w:rsid w:val="004A77CF"/>
    <w:rsid w:val="004B1608"/>
    <w:rsid w:val="004B4A69"/>
    <w:rsid w:val="004C36CC"/>
    <w:rsid w:val="004C396D"/>
    <w:rsid w:val="004C6E71"/>
    <w:rsid w:val="004D08F2"/>
    <w:rsid w:val="004E1445"/>
    <w:rsid w:val="004E65F2"/>
    <w:rsid w:val="004F23E4"/>
    <w:rsid w:val="004F3D57"/>
    <w:rsid w:val="00500143"/>
    <w:rsid w:val="00500336"/>
    <w:rsid w:val="0050064E"/>
    <w:rsid w:val="00501A4D"/>
    <w:rsid w:val="00510E66"/>
    <w:rsid w:val="00515E8C"/>
    <w:rsid w:val="00523993"/>
    <w:rsid w:val="005245D7"/>
    <w:rsid w:val="00524E73"/>
    <w:rsid w:val="00527104"/>
    <w:rsid w:val="00530902"/>
    <w:rsid w:val="00541512"/>
    <w:rsid w:val="00553627"/>
    <w:rsid w:val="00564DEE"/>
    <w:rsid w:val="00566BFC"/>
    <w:rsid w:val="0057441E"/>
    <w:rsid w:val="005752F7"/>
    <w:rsid w:val="00581493"/>
    <w:rsid w:val="0058169E"/>
    <w:rsid w:val="005A24FE"/>
    <w:rsid w:val="005A3B8F"/>
    <w:rsid w:val="005A5D0D"/>
    <w:rsid w:val="005B43BD"/>
    <w:rsid w:val="005C7859"/>
    <w:rsid w:val="005D6D05"/>
    <w:rsid w:val="005E2E7A"/>
    <w:rsid w:val="005F281C"/>
    <w:rsid w:val="005F587C"/>
    <w:rsid w:val="005F6348"/>
    <w:rsid w:val="005F79D5"/>
    <w:rsid w:val="00601BDB"/>
    <w:rsid w:val="006024A0"/>
    <w:rsid w:val="00602967"/>
    <w:rsid w:val="00604D6E"/>
    <w:rsid w:val="00606F11"/>
    <w:rsid w:val="00611AF8"/>
    <w:rsid w:val="00614326"/>
    <w:rsid w:val="00616BC9"/>
    <w:rsid w:val="00644DB5"/>
    <w:rsid w:val="0064606E"/>
    <w:rsid w:val="006461D9"/>
    <w:rsid w:val="006567A5"/>
    <w:rsid w:val="006726A8"/>
    <w:rsid w:val="00680537"/>
    <w:rsid w:val="006827E8"/>
    <w:rsid w:val="00694232"/>
    <w:rsid w:val="00696C62"/>
    <w:rsid w:val="00697A7D"/>
    <w:rsid w:val="006A1E38"/>
    <w:rsid w:val="006C738F"/>
    <w:rsid w:val="006C7493"/>
    <w:rsid w:val="006D565A"/>
    <w:rsid w:val="006E29AA"/>
    <w:rsid w:val="006E425B"/>
    <w:rsid w:val="006F2800"/>
    <w:rsid w:val="006F41FA"/>
    <w:rsid w:val="006F7A52"/>
    <w:rsid w:val="00705E88"/>
    <w:rsid w:val="00711249"/>
    <w:rsid w:val="00712CAA"/>
    <w:rsid w:val="00716A8B"/>
    <w:rsid w:val="00717565"/>
    <w:rsid w:val="00725E9A"/>
    <w:rsid w:val="007272B9"/>
    <w:rsid w:val="00730F76"/>
    <w:rsid w:val="00732C01"/>
    <w:rsid w:val="00742FC4"/>
    <w:rsid w:val="00743227"/>
    <w:rsid w:val="00744A45"/>
    <w:rsid w:val="00745379"/>
    <w:rsid w:val="007530E1"/>
    <w:rsid w:val="0075340F"/>
    <w:rsid w:val="00754C6D"/>
    <w:rsid w:val="00755096"/>
    <w:rsid w:val="007642DD"/>
    <w:rsid w:val="007703B4"/>
    <w:rsid w:val="00777623"/>
    <w:rsid w:val="00783399"/>
    <w:rsid w:val="00787E97"/>
    <w:rsid w:val="007941A3"/>
    <w:rsid w:val="00794A4E"/>
    <w:rsid w:val="007A34A3"/>
    <w:rsid w:val="007B0BA7"/>
    <w:rsid w:val="007C2954"/>
    <w:rsid w:val="007C3DF2"/>
    <w:rsid w:val="007C46D2"/>
    <w:rsid w:val="007C693B"/>
    <w:rsid w:val="007D0585"/>
    <w:rsid w:val="007D06F0"/>
    <w:rsid w:val="007D2072"/>
    <w:rsid w:val="007D4F70"/>
    <w:rsid w:val="007D500F"/>
    <w:rsid w:val="007D5DEE"/>
    <w:rsid w:val="007E56D9"/>
    <w:rsid w:val="007E7CAB"/>
    <w:rsid w:val="007F5F31"/>
    <w:rsid w:val="008022DE"/>
    <w:rsid w:val="00802FA6"/>
    <w:rsid w:val="00807AB0"/>
    <w:rsid w:val="00813B57"/>
    <w:rsid w:val="00820ED5"/>
    <w:rsid w:val="008226CE"/>
    <w:rsid w:val="0082409C"/>
    <w:rsid w:val="00832637"/>
    <w:rsid w:val="00837B12"/>
    <w:rsid w:val="00841282"/>
    <w:rsid w:val="00844B88"/>
    <w:rsid w:val="008552A3"/>
    <w:rsid w:val="008572D8"/>
    <w:rsid w:val="00857EA0"/>
    <w:rsid w:val="00861522"/>
    <w:rsid w:val="008632F1"/>
    <w:rsid w:val="00863C39"/>
    <w:rsid w:val="0088143E"/>
    <w:rsid w:val="00881B7D"/>
    <w:rsid w:val="00882652"/>
    <w:rsid w:val="00895181"/>
    <w:rsid w:val="008A0DE3"/>
    <w:rsid w:val="008D23A8"/>
    <w:rsid w:val="008D2FE2"/>
    <w:rsid w:val="008D5CDB"/>
    <w:rsid w:val="008E33E8"/>
    <w:rsid w:val="008E6A6A"/>
    <w:rsid w:val="008F1CA0"/>
    <w:rsid w:val="008F499A"/>
    <w:rsid w:val="00901196"/>
    <w:rsid w:val="00911156"/>
    <w:rsid w:val="00914902"/>
    <w:rsid w:val="0091565B"/>
    <w:rsid w:val="00915FA7"/>
    <w:rsid w:val="00917386"/>
    <w:rsid w:val="009244F9"/>
    <w:rsid w:val="00933430"/>
    <w:rsid w:val="0094488B"/>
    <w:rsid w:val="00945C46"/>
    <w:rsid w:val="0095194C"/>
    <w:rsid w:val="00962D54"/>
    <w:rsid w:val="009673F1"/>
    <w:rsid w:val="0097702E"/>
    <w:rsid w:val="009820AE"/>
    <w:rsid w:val="00984018"/>
    <w:rsid w:val="009844AD"/>
    <w:rsid w:val="009907C5"/>
    <w:rsid w:val="00991528"/>
    <w:rsid w:val="009968DE"/>
    <w:rsid w:val="009A5430"/>
    <w:rsid w:val="009B695C"/>
    <w:rsid w:val="009C0464"/>
    <w:rsid w:val="009C15C4"/>
    <w:rsid w:val="009C5AC2"/>
    <w:rsid w:val="009C70BA"/>
    <w:rsid w:val="009C7250"/>
    <w:rsid w:val="009C7DCD"/>
    <w:rsid w:val="009D2CC7"/>
    <w:rsid w:val="009D39D5"/>
    <w:rsid w:val="009D7613"/>
    <w:rsid w:val="009E0DA4"/>
    <w:rsid w:val="009E6B81"/>
    <w:rsid w:val="009F53F9"/>
    <w:rsid w:val="009F6D09"/>
    <w:rsid w:val="00A004A8"/>
    <w:rsid w:val="00A03425"/>
    <w:rsid w:val="00A05391"/>
    <w:rsid w:val="00A05D00"/>
    <w:rsid w:val="00A22AC5"/>
    <w:rsid w:val="00A265E1"/>
    <w:rsid w:val="00A317A9"/>
    <w:rsid w:val="00A31E4B"/>
    <w:rsid w:val="00A36FEA"/>
    <w:rsid w:val="00A41149"/>
    <w:rsid w:val="00A41E80"/>
    <w:rsid w:val="00A42740"/>
    <w:rsid w:val="00A4508B"/>
    <w:rsid w:val="00A47258"/>
    <w:rsid w:val="00A56D57"/>
    <w:rsid w:val="00A64108"/>
    <w:rsid w:val="00A65654"/>
    <w:rsid w:val="00A7708D"/>
    <w:rsid w:val="00A77234"/>
    <w:rsid w:val="00A77C81"/>
    <w:rsid w:val="00A81018"/>
    <w:rsid w:val="00A82E9D"/>
    <w:rsid w:val="00A877E0"/>
    <w:rsid w:val="00A90DED"/>
    <w:rsid w:val="00A91815"/>
    <w:rsid w:val="00A918ED"/>
    <w:rsid w:val="00A92825"/>
    <w:rsid w:val="00A931C3"/>
    <w:rsid w:val="00AA1F95"/>
    <w:rsid w:val="00AA6A70"/>
    <w:rsid w:val="00AB6AB9"/>
    <w:rsid w:val="00AB6C53"/>
    <w:rsid w:val="00AC11B7"/>
    <w:rsid w:val="00AC2247"/>
    <w:rsid w:val="00AC24BF"/>
    <w:rsid w:val="00AD14E4"/>
    <w:rsid w:val="00AD2BB2"/>
    <w:rsid w:val="00AD2C46"/>
    <w:rsid w:val="00AD78F1"/>
    <w:rsid w:val="00AE41E2"/>
    <w:rsid w:val="00AE7815"/>
    <w:rsid w:val="00AF79EA"/>
    <w:rsid w:val="00B1132B"/>
    <w:rsid w:val="00B11670"/>
    <w:rsid w:val="00B16B4A"/>
    <w:rsid w:val="00B16D95"/>
    <w:rsid w:val="00B20316"/>
    <w:rsid w:val="00B208B6"/>
    <w:rsid w:val="00B267D9"/>
    <w:rsid w:val="00B32C60"/>
    <w:rsid w:val="00B34E3C"/>
    <w:rsid w:val="00B42FAE"/>
    <w:rsid w:val="00B53BA4"/>
    <w:rsid w:val="00B579BD"/>
    <w:rsid w:val="00B62597"/>
    <w:rsid w:val="00B835F6"/>
    <w:rsid w:val="00B84361"/>
    <w:rsid w:val="00BA6146"/>
    <w:rsid w:val="00BB213B"/>
    <w:rsid w:val="00BB531B"/>
    <w:rsid w:val="00BB6921"/>
    <w:rsid w:val="00BE255C"/>
    <w:rsid w:val="00BE4C2B"/>
    <w:rsid w:val="00BF331B"/>
    <w:rsid w:val="00C03CF5"/>
    <w:rsid w:val="00C064FE"/>
    <w:rsid w:val="00C10A93"/>
    <w:rsid w:val="00C11F0A"/>
    <w:rsid w:val="00C14BF4"/>
    <w:rsid w:val="00C160AF"/>
    <w:rsid w:val="00C17744"/>
    <w:rsid w:val="00C22988"/>
    <w:rsid w:val="00C268E9"/>
    <w:rsid w:val="00C30ECA"/>
    <w:rsid w:val="00C31DF8"/>
    <w:rsid w:val="00C36731"/>
    <w:rsid w:val="00C36E16"/>
    <w:rsid w:val="00C439EC"/>
    <w:rsid w:val="00C46F4A"/>
    <w:rsid w:val="00C5307B"/>
    <w:rsid w:val="00C60669"/>
    <w:rsid w:val="00C710A8"/>
    <w:rsid w:val="00C72168"/>
    <w:rsid w:val="00C7474F"/>
    <w:rsid w:val="00C74E1A"/>
    <w:rsid w:val="00C75334"/>
    <w:rsid w:val="00C757F4"/>
    <w:rsid w:val="00C759B4"/>
    <w:rsid w:val="00C75A9D"/>
    <w:rsid w:val="00C81100"/>
    <w:rsid w:val="00C93955"/>
    <w:rsid w:val="00C97B37"/>
    <w:rsid w:val="00CA0006"/>
    <w:rsid w:val="00CA0A6E"/>
    <w:rsid w:val="00CA19B9"/>
    <w:rsid w:val="00CA20E8"/>
    <w:rsid w:val="00CA3BE4"/>
    <w:rsid w:val="00CA49B9"/>
    <w:rsid w:val="00CA7049"/>
    <w:rsid w:val="00CB19DE"/>
    <w:rsid w:val="00CB3E60"/>
    <w:rsid w:val="00CB475B"/>
    <w:rsid w:val="00CC0781"/>
    <w:rsid w:val="00CC1B47"/>
    <w:rsid w:val="00CD1E89"/>
    <w:rsid w:val="00CE44E5"/>
    <w:rsid w:val="00CE451E"/>
    <w:rsid w:val="00D00233"/>
    <w:rsid w:val="00D01D34"/>
    <w:rsid w:val="00D03A69"/>
    <w:rsid w:val="00D06EC8"/>
    <w:rsid w:val="00D07247"/>
    <w:rsid w:val="00D07AC6"/>
    <w:rsid w:val="00D07E32"/>
    <w:rsid w:val="00D136EA"/>
    <w:rsid w:val="00D15647"/>
    <w:rsid w:val="00D1621F"/>
    <w:rsid w:val="00D16694"/>
    <w:rsid w:val="00D16C7B"/>
    <w:rsid w:val="00D23BC7"/>
    <w:rsid w:val="00D251ED"/>
    <w:rsid w:val="00D30D8B"/>
    <w:rsid w:val="00D31516"/>
    <w:rsid w:val="00D3539B"/>
    <w:rsid w:val="00D477E1"/>
    <w:rsid w:val="00D67212"/>
    <w:rsid w:val="00D71B17"/>
    <w:rsid w:val="00D827A6"/>
    <w:rsid w:val="00D831E4"/>
    <w:rsid w:val="00D87907"/>
    <w:rsid w:val="00D95949"/>
    <w:rsid w:val="00DA1622"/>
    <w:rsid w:val="00DA23DE"/>
    <w:rsid w:val="00DA6B16"/>
    <w:rsid w:val="00DB29E9"/>
    <w:rsid w:val="00DB61C7"/>
    <w:rsid w:val="00DD4A4B"/>
    <w:rsid w:val="00DD52F9"/>
    <w:rsid w:val="00DD6DF5"/>
    <w:rsid w:val="00DD7E67"/>
    <w:rsid w:val="00DE098A"/>
    <w:rsid w:val="00DE34CF"/>
    <w:rsid w:val="00DE66BD"/>
    <w:rsid w:val="00DE77B9"/>
    <w:rsid w:val="00DF0AEC"/>
    <w:rsid w:val="00DF1112"/>
    <w:rsid w:val="00E000EB"/>
    <w:rsid w:val="00E01E4B"/>
    <w:rsid w:val="00E05815"/>
    <w:rsid w:val="00E1605D"/>
    <w:rsid w:val="00E26839"/>
    <w:rsid w:val="00E32B6B"/>
    <w:rsid w:val="00E3695C"/>
    <w:rsid w:val="00E40B77"/>
    <w:rsid w:val="00E46769"/>
    <w:rsid w:val="00E52766"/>
    <w:rsid w:val="00E5387A"/>
    <w:rsid w:val="00E55E84"/>
    <w:rsid w:val="00E56D8D"/>
    <w:rsid w:val="00E654F2"/>
    <w:rsid w:val="00E72E40"/>
    <w:rsid w:val="00E74F4A"/>
    <w:rsid w:val="00E7589B"/>
    <w:rsid w:val="00E82436"/>
    <w:rsid w:val="00E85808"/>
    <w:rsid w:val="00E87C04"/>
    <w:rsid w:val="00E87CCA"/>
    <w:rsid w:val="00E919E2"/>
    <w:rsid w:val="00E94D03"/>
    <w:rsid w:val="00E94E2D"/>
    <w:rsid w:val="00EA05B9"/>
    <w:rsid w:val="00EA4AD8"/>
    <w:rsid w:val="00EA6EAD"/>
    <w:rsid w:val="00EB68B0"/>
    <w:rsid w:val="00EC2303"/>
    <w:rsid w:val="00EC7F5E"/>
    <w:rsid w:val="00ED3033"/>
    <w:rsid w:val="00EE1BED"/>
    <w:rsid w:val="00EF67D9"/>
    <w:rsid w:val="00F0521D"/>
    <w:rsid w:val="00F1480D"/>
    <w:rsid w:val="00F15A5F"/>
    <w:rsid w:val="00F16664"/>
    <w:rsid w:val="00F2779F"/>
    <w:rsid w:val="00F355A1"/>
    <w:rsid w:val="00F4190F"/>
    <w:rsid w:val="00F42399"/>
    <w:rsid w:val="00F45D32"/>
    <w:rsid w:val="00F47890"/>
    <w:rsid w:val="00F47CA9"/>
    <w:rsid w:val="00F5077C"/>
    <w:rsid w:val="00F7148D"/>
    <w:rsid w:val="00F82B0F"/>
    <w:rsid w:val="00F936DC"/>
    <w:rsid w:val="00FA5955"/>
    <w:rsid w:val="00FA727D"/>
    <w:rsid w:val="00FB1470"/>
    <w:rsid w:val="00FB1739"/>
    <w:rsid w:val="00FB2CA4"/>
    <w:rsid w:val="00FB72E0"/>
    <w:rsid w:val="00FC2B9A"/>
    <w:rsid w:val="00FC34C2"/>
    <w:rsid w:val="00FC42FD"/>
    <w:rsid w:val="00FC602B"/>
    <w:rsid w:val="00FD2E6A"/>
    <w:rsid w:val="00FD68F1"/>
    <w:rsid w:val="00FE2DD6"/>
    <w:rsid w:val="00FF06D9"/>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 w:type="paragraph" w:customStyle="1" w:styleId="secondaryheading-numbered0">
    <w:name w:val="secondaryheading-numbered"/>
    <w:basedOn w:val="Normal"/>
    <w:rsid w:val="007E56D9"/>
    <w:pPr>
      <w:spacing w:line="240" w:lineRule="auto"/>
      <w:ind w:left="360" w:hanging="360"/>
    </w:pPr>
    <w:rPr>
      <w:rFonts w:ascii="Arial Narrow"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214df9c5-db87-4a02-84be-b917c118d6ed" TargetMode="External" /><Relationship Id="rId5" Type="http://schemas.openxmlformats.org/officeDocument/2006/relationships/hyperlink" Target="https://www.pjm.com/committees-and-groups/issue-tracking/issue-tracking-details.aspx?Issue=4cb67d26-8897-4a2b-9aa8-ddc811e8a60d" TargetMode="External" /><Relationship Id="rId6" Type="http://schemas.openxmlformats.org/officeDocument/2006/relationships/hyperlink" Target="https://www.pjm.com/committees-and-groups/issue-tracking/issue-tracking-details.aspx?Issue=4f434d95-1d5a-4ca2-b70b-75c6088ad888" TargetMode="External" /><Relationship Id="rId7" Type="http://schemas.openxmlformats.org/officeDocument/2006/relationships/hyperlink" Target="https://www.pjm.com/committees-and-groups/issue-tracking/issue-tracking-details.aspx?Issue=9049c9d4-1da7-43d0-bd6a-130d86d5922c"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