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857EA0" w:rsidRPr="00B62597" w:rsidP="00636044" w14:paraId="1EA6F4AA" w14:textId="77777777">
      <w:pPr>
        <w:pStyle w:val="MeetingDetails"/>
        <w:tabs>
          <w:tab w:val="left" w:pos="7910"/>
        </w:tabs>
      </w:pPr>
      <w:r>
        <w:t>Markets &amp; Reliability Committee</w:t>
      </w:r>
      <w:r w:rsidR="00636044">
        <w:tab/>
      </w:r>
    </w:p>
    <w:p w:rsidR="00857EA0" w:rsidRPr="00B62597" w:rsidP="00857EA0" w14:paraId="0604EF35" w14:textId="77777777">
      <w:pPr>
        <w:pStyle w:val="MeetingDetails"/>
      </w:pPr>
      <w:r>
        <w:t>PJM Conference and Training Center, Audubon, PA</w:t>
      </w:r>
      <w:r w:rsidRPr="004C6E71">
        <w:t xml:space="preserve"> </w:t>
      </w:r>
      <w:r>
        <w:t xml:space="preserve">/ </w:t>
      </w:r>
      <w:r>
        <w:t>WebEx</w:t>
      </w:r>
    </w:p>
    <w:p w:rsidR="002E0188" w:rsidP="00857EA0" w14:paraId="065988BE" w14:textId="621A8DE6">
      <w:pPr>
        <w:pStyle w:val="MeetingDetails"/>
      </w:pPr>
      <w:r>
        <w:t>July 28</w:t>
      </w:r>
      <w:r w:rsidR="00523AE1">
        <w:t>, 2026</w:t>
      </w:r>
    </w:p>
    <w:p w:rsidR="00857EA0" w:rsidRPr="00AE7815" w:rsidP="00857EA0" w14:paraId="33DF9540" w14:textId="45EF21B6">
      <w:pPr>
        <w:pStyle w:val="MeetingDetails"/>
      </w:pPr>
      <w:r w:rsidRPr="000D7C29">
        <w:t>9:00</w:t>
      </w:r>
      <w:r w:rsidRPr="000D7C29" w:rsidR="00355E5A">
        <w:t xml:space="preserve"> a.m</w:t>
      </w:r>
      <w:r w:rsidRPr="00E33B8A" w:rsidR="00355E5A">
        <w:t>. –</w:t>
      </w:r>
      <w:r w:rsidR="00E9315C">
        <w:t xml:space="preserve"> </w:t>
      </w:r>
      <w:r w:rsidR="00191C30">
        <w:t>1</w:t>
      </w:r>
      <w:r w:rsidR="00C95F4C">
        <w:t>:</w:t>
      </w:r>
      <w:r w:rsidR="00BE79F6">
        <w:t>5</w:t>
      </w:r>
      <w:r w:rsidR="008F16FD">
        <w:t>0</w:t>
      </w:r>
      <w:r w:rsidR="00E660D6">
        <w:t xml:space="preserve"> </w:t>
      </w:r>
      <w:r w:rsidR="00191C30">
        <w:t>p</w:t>
      </w:r>
      <w:r w:rsidRPr="00976AD0" w:rsidR="00E82436">
        <w:t>.m</w:t>
      </w:r>
      <w:r w:rsidRPr="00976AD0" w:rsidR="00355E5A">
        <w:t>. EPT</w:t>
      </w:r>
    </w:p>
    <w:p w:rsidR="00B62597" w:rsidRPr="00B62597" w:rsidP="00B62597" w14:paraId="236D82E1" w14:textId="77777777">
      <w:pPr>
        <w:spacing w:after="0" w:line="240" w:lineRule="auto"/>
        <w:rPr>
          <w:rFonts w:ascii="Arial Narrow" w:eastAsia="Times New Roman" w:hAnsi="Arial Narrow" w:cs="Times New Roman"/>
          <w:sz w:val="24"/>
          <w:szCs w:val="20"/>
        </w:rPr>
      </w:pPr>
    </w:p>
    <w:p w:rsidR="00B62597" w:rsidRPr="00B62597" w:rsidP="007C2954" w14:paraId="3B42C848" w14:textId="77777777">
      <w:pPr>
        <w:pStyle w:val="PrimaryHeading"/>
        <w:rPr>
          <w:caps/>
        </w:rPr>
      </w:pPr>
      <w:bookmarkStart w:id="0" w:name="OLE_LINK5"/>
      <w:bookmarkStart w:id="1" w:name="OLE_LINK3"/>
      <w:r w:rsidRPr="00527104">
        <w:t>Adm</w:t>
      </w:r>
      <w:r w:rsidRPr="007C2954">
        <w:t>inistrati</w:t>
      </w:r>
      <w:r w:rsidRPr="00527104">
        <w:t>on (</w:t>
      </w:r>
      <w:r w:rsidR="00717B65">
        <w:t>9:00-</w:t>
      </w:r>
      <w:r w:rsidR="00776325">
        <w:t>9:05</w:t>
      </w:r>
      <w:r w:rsidRPr="00527104">
        <w:t>)</w:t>
      </w:r>
    </w:p>
    <w:bookmarkEnd w:id="0"/>
    <w:bookmarkEnd w:id="1"/>
    <w:p w:rsidR="00B62597" w:rsidP="000D7597" w14:paraId="0C0A4422" w14:textId="39342E7E">
      <w:pPr>
        <w:pStyle w:val="ListSubhead1"/>
        <w:numPr>
          <w:ilvl w:val="0"/>
          <w:numId w:val="0"/>
        </w:numPr>
        <w:tabs>
          <w:tab w:val="clear" w:pos="0"/>
        </w:tabs>
        <w:ind w:left="360"/>
        <w:rPr>
          <w:b w:val="0"/>
        </w:rPr>
      </w:pPr>
      <w:r w:rsidRPr="00331D7F">
        <w:rPr>
          <w:b w:val="0"/>
        </w:rPr>
        <w:t xml:space="preserve">Welcome, announcements and Anti-trust, Code of Conduct, and Public Meetings/Media Participation – </w:t>
      </w:r>
      <w:r w:rsidR="00F033DE">
        <w:rPr>
          <w:b w:val="0"/>
        </w:rPr>
        <w:t>Lisa Drauschak</w:t>
      </w:r>
      <w:r w:rsidRPr="00331D7F">
        <w:rPr>
          <w:b w:val="0"/>
        </w:rPr>
        <w:t xml:space="preserve"> and </w:t>
      </w:r>
      <w:r w:rsidR="00772680">
        <w:rPr>
          <w:b w:val="0"/>
        </w:rPr>
        <w:t xml:space="preserve">Dave Anders </w:t>
      </w:r>
      <w:r w:rsidR="004803BA">
        <w:rPr>
          <w:b w:val="0"/>
        </w:rPr>
        <w:t xml:space="preserve"> </w:t>
      </w:r>
      <w:r w:rsidRPr="00331D7F">
        <w:rPr>
          <w:b w:val="0"/>
        </w:rPr>
        <w:t xml:space="preserve">  </w:t>
      </w:r>
    </w:p>
    <w:p w:rsidR="00857EA0" w:rsidRPr="00DB29E9" w:rsidP="00857EA0" w14:paraId="00E474E4" w14:textId="77777777">
      <w:pPr>
        <w:pStyle w:val="PrimaryHeading"/>
        <w:spacing w:before="120" w:after="200"/>
      </w:pPr>
      <w:r>
        <w:t xml:space="preserve">Consent </w:t>
      </w:r>
      <w:r w:rsidRPr="00776325">
        <w:t>Agenda (</w:t>
      </w:r>
      <w:r w:rsidRPr="00776325" w:rsidR="00776325">
        <w:t>9:05-9:10</w:t>
      </w:r>
      <w:r w:rsidRPr="00776325" w:rsidR="00355E5A">
        <w:t>)</w:t>
      </w:r>
    </w:p>
    <w:p w:rsidR="00AA5A19" w:rsidRPr="004803BA" w:rsidP="00BC1CD3" w14:paraId="57650C91" w14:textId="6F39B525">
      <w:pPr>
        <w:pStyle w:val="SecondaryHeading-Numbered"/>
        <w:numPr>
          <w:ilvl w:val="0"/>
          <w:numId w:val="3"/>
        </w:numPr>
      </w:pPr>
      <w:r>
        <w:rPr>
          <w:u w:val="single"/>
        </w:rPr>
        <w:t>Approve</w:t>
      </w:r>
      <w:r>
        <w:rPr>
          <w:b w:val="0"/>
          <w:bCs/>
        </w:rPr>
        <w:t xml:space="preserve"> minutes of the </w:t>
      </w:r>
      <w:r w:rsidR="004803BA">
        <w:rPr>
          <w:b w:val="0"/>
        </w:rPr>
        <w:t>June 24</w:t>
      </w:r>
      <w:r w:rsidRPr="003D6950" w:rsidR="003D6950">
        <w:rPr>
          <w:b w:val="0"/>
        </w:rPr>
        <w:t>, 2026</w:t>
      </w:r>
      <w:r w:rsidRPr="003D6950" w:rsidR="00064E52">
        <w:rPr>
          <w:b w:val="0"/>
        </w:rPr>
        <w:t xml:space="preserve"> meeting of the Markets and Reliability Committee</w:t>
      </w:r>
      <w:r w:rsidRPr="003D6950" w:rsidR="0050064E">
        <w:rPr>
          <w:b w:val="0"/>
        </w:rPr>
        <w:t xml:space="preserve"> (MRC)</w:t>
      </w:r>
      <w:r w:rsidRPr="003D6950" w:rsidR="003D6950">
        <w:rPr>
          <w:b w:val="0"/>
        </w:rPr>
        <w:t>.</w:t>
      </w:r>
    </w:p>
    <w:p w:rsidR="004803BA" w:rsidP="004803BA" w14:paraId="1701469C" w14:textId="5F3AB397">
      <w:pPr>
        <w:pStyle w:val="ListSubhead1"/>
        <w:numPr>
          <w:ilvl w:val="0"/>
          <w:numId w:val="3"/>
        </w:numPr>
        <w:rPr>
          <w:b w:val="0"/>
          <w:bCs/>
        </w:rPr>
      </w:pPr>
      <w:r w:rsidRPr="004803BA">
        <w:rPr>
          <w:u w:val="single"/>
        </w:rPr>
        <w:t>Endorse</w:t>
      </w:r>
      <w:r>
        <w:rPr>
          <w:b w:val="0"/>
          <w:bCs/>
        </w:rPr>
        <w:t xml:space="preserve"> </w:t>
      </w:r>
      <w:r w:rsidRPr="004803BA">
        <w:rPr>
          <w:b w:val="0"/>
          <w:bCs/>
        </w:rPr>
        <w:t>conforming</w:t>
      </w:r>
      <w:r>
        <w:rPr>
          <w:b w:val="0"/>
          <w:bCs/>
        </w:rPr>
        <w:t xml:space="preserve"> revisions to </w:t>
      </w:r>
      <w:r w:rsidRPr="00266299">
        <w:rPr>
          <w:b w:val="0"/>
          <w:bCs/>
        </w:rPr>
        <w:t xml:space="preserve">Manual 11: Energy &amp; Ancillary Services Market Operations </w:t>
      </w:r>
      <w:r>
        <w:rPr>
          <w:b w:val="0"/>
          <w:bCs/>
        </w:rPr>
        <w:t>addressing</w:t>
      </w:r>
      <w:r w:rsidRPr="00266299">
        <w:rPr>
          <w:b w:val="0"/>
          <w:bCs/>
        </w:rPr>
        <w:t xml:space="preserve"> Economic Load Response Regulation Only </w:t>
      </w:r>
      <w:r>
        <w:rPr>
          <w:b w:val="0"/>
          <w:bCs/>
        </w:rPr>
        <w:t xml:space="preserve">(FERC Dockets </w:t>
      </w:r>
      <w:r w:rsidRPr="00266299">
        <w:rPr>
          <w:b w:val="0"/>
          <w:bCs/>
        </w:rPr>
        <w:t xml:space="preserve">ER26-846-000 </w:t>
      </w:r>
      <w:r>
        <w:rPr>
          <w:b w:val="0"/>
          <w:bCs/>
        </w:rPr>
        <w:t>and</w:t>
      </w:r>
      <w:r w:rsidRPr="00266299">
        <w:rPr>
          <w:b w:val="0"/>
          <w:bCs/>
        </w:rPr>
        <w:t xml:space="preserve"> ER26-846-001</w:t>
      </w:r>
      <w:r>
        <w:rPr>
          <w:b w:val="0"/>
          <w:bCs/>
        </w:rPr>
        <w:t>)</w:t>
      </w:r>
      <w:r w:rsidRPr="00266299">
        <w:rPr>
          <w:b w:val="0"/>
          <w:bCs/>
        </w:rPr>
        <w:t>.</w:t>
      </w:r>
      <w:r>
        <w:rPr>
          <w:b w:val="0"/>
          <w:bCs/>
        </w:rPr>
        <w:t xml:space="preserve"> </w:t>
      </w:r>
    </w:p>
    <w:p w:rsidR="004803BA" w:rsidP="004803BA" w14:paraId="26FE9AA7" w14:textId="1603D2A6">
      <w:pPr>
        <w:pStyle w:val="ListSubhead1"/>
        <w:numPr>
          <w:ilvl w:val="0"/>
          <w:numId w:val="3"/>
        </w:numPr>
        <w:rPr>
          <w:b w:val="0"/>
          <w:bCs/>
        </w:rPr>
      </w:pPr>
      <w:r w:rsidRPr="004803BA">
        <w:rPr>
          <w:u w:val="single"/>
        </w:rPr>
        <w:t>Endorse</w:t>
      </w:r>
      <w:r>
        <w:rPr>
          <w:b w:val="0"/>
          <w:bCs/>
        </w:rPr>
        <w:t xml:space="preserve"> proposed revisions to Manual 14D: Generator Operational Requirements addressing alignment with NERC Reliability Standards.</w:t>
      </w:r>
    </w:p>
    <w:p w:rsidR="004803BA" w:rsidRPr="001D1B51" w:rsidP="004803BA" w14:paraId="2A83A297" w14:textId="2DACA69B">
      <w:pPr>
        <w:pStyle w:val="SecondaryHeading-Numbered"/>
        <w:numPr>
          <w:ilvl w:val="0"/>
          <w:numId w:val="3"/>
        </w:numPr>
      </w:pPr>
      <w:r w:rsidRPr="004803BA">
        <w:rPr>
          <w:u w:val="single"/>
        </w:rPr>
        <w:t>Endorse</w:t>
      </w:r>
      <w:r>
        <w:rPr>
          <w:b w:val="0"/>
          <w:bCs/>
        </w:rPr>
        <w:t xml:space="preserve"> conforming revisions to</w:t>
      </w:r>
      <w:r w:rsidRPr="00BF4AC1">
        <w:rPr>
          <w:b w:val="0"/>
          <w:bCs/>
        </w:rPr>
        <w:t xml:space="preserve"> Manual 14H: New Service Requests Cycle Process</w:t>
      </w:r>
      <w:r>
        <w:rPr>
          <w:b w:val="0"/>
          <w:bCs/>
        </w:rPr>
        <w:t xml:space="preserve"> addressing the Expedited Interconnection Track (EIT) (FERC </w:t>
      </w:r>
      <w:r w:rsidRPr="00BF4AC1">
        <w:rPr>
          <w:b w:val="0"/>
          <w:bCs/>
        </w:rPr>
        <w:t>Docket ER26-1563</w:t>
      </w:r>
      <w:r>
        <w:rPr>
          <w:b w:val="0"/>
          <w:bCs/>
        </w:rPr>
        <w:t>)</w:t>
      </w:r>
      <w:r w:rsidRPr="00BF4AC1">
        <w:rPr>
          <w:b w:val="0"/>
          <w:bCs/>
        </w:rPr>
        <w:t xml:space="preserve">. </w:t>
      </w:r>
    </w:p>
    <w:p w:rsidR="001D1B51" w:rsidRPr="004803BA" w:rsidP="004803BA" w14:paraId="40FE87D1" w14:textId="1C29E008">
      <w:pPr>
        <w:pStyle w:val="SecondaryHeading-Numbered"/>
        <w:numPr>
          <w:ilvl w:val="0"/>
          <w:numId w:val="3"/>
        </w:numPr>
        <w:rPr>
          <w:b w:val="0"/>
          <w:bCs/>
        </w:rPr>
      </w:pPr>
      <w:r>
        <w:rPr>
          <w:u w:val="single"/>
        </w:rPr>
        <w:t>Endorse/Approve</w:t>
      </w:r>
      <w:r>
        <w:rPr>
          <w:b w:val="0"/>
          <w:bCs/>
        </w:rPr>
        <w:t xml:space="preserve"> proposed Tariff, Reliability Assurance Agreement (RAA), and Operations Agreement (OA) revisions as endorsed by the Governing Documents and Enhancements and Clarifications Subcommittee (GDECS).  </w:t>
      </w:r>
    </w:p>
    <w:p w:rsidR="001D3B68" w:rsidRPr="00776325" w:rsidP="007C2954" w14:paraId="75512E7A" w14:textId="5C91B947">
      <w:pPr>
        <w:pStyle w:val="PrimaryHeading"/>
      </w:pPr>
      <w:r>
        <w:t xml:space="preserve">Endorsements </w:t>
      </w:r>
      <w:r w:rsidR="00E9077C">
        <w:t>(9:10-</w:t>
      </w:r>
      <w:r w:rsidR="007F5BED">
        <w:t>10</w:t>
      </w:r>
      <w:r w:rsidR="00E9077C">
        <w:t>:</w:t>
      </w:r>
      <w:r w:rsidR="007F5BED">
        <w:t>30</w:t>
      </w:r>
      <w:r w:rsidR="00E9077C">
        <w:t>)</w:t>
      </w:r>
    </w:p>
    <w:p w:rsidR="004803BA" w:rsidRPr="007173E7" w:rsidP="004803BA" w14:paraId="5C30BD64" w14:textId="3684451A">
      <w:pPr>
        <w:pStyle w:val="ListSubhead1"/>
        <w:rPr>
          <w:b w:val="0"/>
          <w:bCs/>
          <w:u w:val="single"/>
        </w:rPr>
      </w:pPr>
      <w:r w:rsidRPr="007173E7">
        <w:rPr>
          <w:b w:val="0"/>
          <w:bCs/>
          <w:u w:val="single"/>
        </w:rPr>
        <w:t>Flexible Resource Lost Opportunity Cost Eligibility (</w:t>
      </w:r>
      <w:r w:rsidR="007F5BED">
        <w:rPr>
          <w:b w:val="0"/>
          <w:bCs/>
          <w:u w:val="single"/>
        </w:rPr>
        <w:t>9:10-9:30</w:t>
      </w:r>
      <w:r w:rsidRPr="007173E7">
        <w:rPr>
          <w:b w:val="0"/>
          <w:bCs/>
          <w:u w:val="single"/>
        </w:rPr>
        <w:t xml:space="preserve">) </w:t>
      </w:r>
    </w:p>
    <w:p w:rsidR="004803BA" w:rsidP="004803BA" w14:paraId="54DE86E2" w14:textId="508CA2CE">
      <w:pPr>
        <w:pStyle w:val="ListSubhead1"/>
        <w:numPr>
          <w:ilvl w:val="0"/>
          <w:numId w:val="0"/>
        </w:numPr>
        <w:spacing w:after="0"/>
        <w:ind w:left="360"/>
        <w:rPr>
          <w:b w:val="0"/>
          <w:bCs/>
        </w:rPr>
      </w:pPr>
      <w:r w:rsidRPr="007173E7">
        <w:rPr>
          <w:b w:val="0"/>
          <w:bCs/>
        </w:rPr>
        <w:t>Susan Kenney</w:t>
      </w:r>
      <w:r>
        <w:rPr>
          <w:b w:val="0"/>
          <w:bCs/>
        </w:rPr>
        <w:t xml:space="preserve"> will review a proposed solution addressing </w:t>
      </w:r>
      <w:r w:rsidRPr="007173E7">
        <w:rPr>
          <w:b w:val="0"/>
          <w:bCs/>
        </w:rPr>
        <w:t>Flexible Resource Lost Opportunity Cost Eligibility</w:t>
      </w:r>
      <w:r>
        <w:rPr>
          <w:b w:val="0"/>
          <w:bCs/>
        </w:rPr>
        <w:t xml:space="preserve"> and corresponding Tariff, Manual 11: </w:t>
      </w:r>
      <w:r w:rsidRPr="001D1B51">
        <w:rPr>
          <w:b w:val="0"/>
          <w:bCs/>
        </w:rPr>
        <w:t>Energy &amp; Ancillary Services Market Operations</w:t>
      </w:r>
      <w:r>
        <w:rPr>
          <w:b w:val="0"/>
          <w:bCs/>
        </w:rPr>
        <w:t>, and Manual 28: Operating Agreement Accounting revisions</w:t>
      </w:r>
      <w:r w:rsidRPr="007173E7">
        <w:rPr>
          <w:b w:val="0"/>
          <w:bCs/>
        </w:rPr>
        <w:t xml:space="preserve">. </w:t>
      </w:r>
      <w:r w:rsidRPr="004803BA">
        <w:t>The committee will be asked to endorse the proposed solution and Tariff and Manual revisions at this meeting.</w:t>
      </w:r>
      <w:r>
        <w:rPr>
          <w:b w:val="0"/>
          <w:bCs/>
        </w:rPr>
        <w:t xml:space="preserve"> </w:t>
      </w:r>
    </w:p>
    <w:p w:rsidR="004803BA" w:rsidP="004803BA" w14:paraId="77E978F8" w14:textId="77777777">
      <w:pPr>
        <w:pStyle w:val="ListSubhead1"/>
        <w:numPr>
          <w:ilvl w:val="0"/>
          <w:numId w:val="0"/>
        </w:numPr>
        <w:ind w:left="360"/>
      </w:pPr>
      <w:hyperlink r:id="rId5" w:history="1">
        <w:r w:rsidRPr="007173E7">
          <w:rPr>
            <w:rStyle w:val="Hyperlink"/>
            <w:b w:val="0"/>
            <w:bCs/>
          </w:rPr>
          <w:t>Issue Tracking: Flexible Resource Lost Opportunity Cost Eligibility</w:t>
        </w:r>
      </w:hyperlink>
    </w:p>
    <w:p w:rsidR="004803BA" w:rsidRPr="00E3016E" w:rsidP="004803BA" w14:paraId="1224DAA1" w14:textId="35FD632B">
      <w:pPr>
        <w:pStyle w:val="ListSubhead1"/>
        <w:rPr>
          <w:b w:val="0"/>
          <w:bCs/>
          <w:u w:val="single"/>
        </w:rPr>
      </w:pPr>
      <w:r>
        <w:rPr>
          <w:b w:val="0"/>
          <w:bCs/>
          <w:u w:val="single"/>
        </w:rPr>
        <w:t>Deactivation Enhancements</w:t>
      </w:r>
      <w:r w:rsidRPr="00E3016E">
        <w:rPr>
          <w:b w:val="0"/>
          <w:bCs/>
          <w:u w:val="single"/>
        </w:rPr>
        <w:t xml:space="preserve"> (</w:t>
      </w:r>
      <w:r w:rsidR="007F5BED">
        <w:rPr>
          <w:b w:val="0"/>
          <w:bCs/>
          <w:u w:val="single"/>
        </w:rPr>
        <w:t>9</w:t>
      </w:r>
      <w:r w:rsidRPr="00E3016E">
        <w:rPr>
          <w:b w:val="0"/>
          <w:bCs/>
          <w:u w:val="single"/>
        </w:rPr>
        <w:t>:</w:t>
      </w:r>
      <w:r>
        <w:rPr>
          <w:b w:val="0"/>
          <w:bCs/>
          <w:u w:val="single"/>
        </w:rPr>
        <w:t>3</w:t>
      </w:r>
      <w:r w:rsidRPr="00E3016E">
        <w:rPr>
          <w:b w:val="0"/>
          <w:bCs/>
          <w:u w:val="single"/>
        </w:rPr>
        <w:t>0-</w:t>
      </w:r>
      <w:r>
        <w:rPr>
          <w:b w:val="0"/>
          <w:bCs/>
          <w:u w:val="single"/>
        </w:rPr>
        <w:t>1</w:t>
      </w:r>
      <w:r w:rsidR="007F5BED">
        <w:rPr>
          <w:b w:val="0"/>
          <w:bCs/>
          <w:u w:val="single"/>
        </w:rPr>
        <w:t>0</w:t>
      </w:r>
      <w:r>
        <w:rPr>
          <w:b w:val="0"/>
          <w:bCs/>
          <w:u w:val="single"/>
        </w:rPr>
        <w:t>:</w:t>
      </w:r>
      <w:r w:rsidR="007F5BED">
        <w:rPr>
          <w:b w:val="0"/>
          <w:bCs/>
          <w:u w:val="single"/>
        </w:rPr>
        <w:t>3</w:t>
      </w:r>
      <w:r>
        <w:rPr>
          <w:b w:val="0"/>
          <w:bCs/>
          <w:u w:val="single"/>
        </w:rPr>
        <w:t>0</w:t>
      </w:r>
      <w:r w:rsidRPr="00E3016E">
        <w:rPr>
          <w:b w:val="0"/>
          <w:bCs/>
          <w:u w:val="single"/>
        </w:rPr>
        <w:t xml:space="preserve">) </w:t>
      </w:r>
    </w:p>
    <w:p w:rsidR="004803BA" w:rsidP="004803BA" w14:paraId="2AE3FB2D" w14:textId="77777777">
      <w:pPr>
        <w:pStyle w:val="ListSubhead1"/>
        <w:numPr>
          <w:ilvl w:val="0"/>
          <w:numId w:val="12"/>
        </w:numPr>
        <w:rPr>
          <w:b w:val="0"/>
          <w:bCs/>
        </w:rPr>
      </w:pPr>
      <w:r>
        <w:rPr>
          <w:b w:val="0"/>
          <w:bCs/>
        </w:rPr>
        <w:t xml:space="preserve">Dave Anders will provide an update regarding the activities of the Deactivation Enhancements Senior Task Force (DESTF). </w:t>
      </w:r>
    </w:p>
    <w:p w:rsidR="004803BA" w:rsidP="004803BA" w14:paraId="0727B907" w14:textId="51FC655B">
      <w:pPr>
        <w:pStyle w:val="ListSubhead1"/>
        <w:numPr>
          <w:ilvl w:val="0"/>
          <w:numId w:val="12"/>
        </w:numPr>
        <w:rPr>
          <w:b w:val="0"/>
          <w:bCs/>
        </w:rPr>
      </w:pPr>
      <w:r>
        <w:rPr>
          <w:b w:val="0"/>
          <w:bCs/>
        </w:rPr>
        <w:t>Dan</w:t>
      </w:r>
      <w:r w:rsidR="000E0B3E">
        <w:rPr>
          <w:b w:val="0"/>
          <w:bCs/>
        </w:rPr>
        <w:t>iel</w:t>
      </w:r>
      <w:r>
        <w:rPr>
          <w:b w:val="0"/>
          <w:bCs/>
        </w:rPr>
        <w:t xml:space="preserve"> Vinnik</w:t>
      </w:r>
      <w:r w:rsidRPr="00E3016E">
        <w:rPr>
          <w:b w:val="0"/>
          <w:bCs/>
        </w:rPr>
        <w:t xml:space="preserve"> will review </w:t>
      </w:r>
      <w:r>
        <w:rPr>
          <w:b w:val="0"/>
          <w:bCs/>
        </w:rPr>
        <w:t xml:space="preserve">a </w:t>
      </w:r>
      <w:r w:rsidRPr="00E3016E">
        <w:rPr>
          <w:b w:val="0"/>
          <w:bCs/>
        </w:rPr>
        <w:t xml:space="preserve">proposed </w:t>
      </w:r>
      <w:r>
        <w:rPr>
          <w:b w:val="0"/>
          <w:bCs/>
        </w:rPr>
        <w:t xml:space="preserve">solution and corresponding Tariff </w:t>
      </w:r>
      <w:r w:rsidRPr="00E3016E">
        <w:rPr>
          <w:b w:val="0"/>
          <w:bCs/>
        </w:rPr>
        <w:t>revisions addressing the Pro</w:t>
      </w:r>
      <w:r>
        <w:rPr>
          <w:b w:val="0"/>
          <w:bCs/>
        </w:rPr>
        <w:t xml:space="preserve"> Fo</w:t>
      </w:r>
      <w:r w:rsidRPr="00E3016E">
        <w:rPr>
          <w:b w:val="0"/>
          <w:bCs/>
        </w:rPr>
        <w:t xml:space="preserve">rma Reliability Must Run (RMR) Agreement for DESTF </w:t>
      </w:r>
      <w:r>
        <w:rPr>
          <w:b w:val="0"/>
          <w:bCs/>
        </w:rPr>
        <w:t>s</w:t>
      </w:r>
      <w:r w:rsidRPr="00E3016E">
        <w:rPr>
          <w:b w:val="0"/>
          <w:bCs/>
        </w:rPr>
        <w:t xml:space="preserve">cope </w:t>
      </w:r>
      <w:r>
        <w:rPr>
          <w:b w:val="0"/>
          <w:bCs/>
        </w:rPr>
        <w:t>a</w:t>
      </w:r>
      <w:r w:rsidRPr="00E3016E">
        <w:rPr>
          <w:b w:val="0"/>
          <w:bCs/>
        </w:rPr>
        <w:t xml:space="preserve">rea 6. </w:t>
      </w:r>
    </w:p>
    <w:p w:rsidR="004803BA" w:rsidP="004803BA" w14:paraId="19F2068E" w14:textId="3048DFBD">
      <w:pPr>
        <w:pStyle w:val="ListSubhead1"/>
        <w:numPr>
          <w:ilvl w:val="0"/>
          <w:numId w:val="12"/>
        </w:numPr>
        <w:rPr>
          <w:b w:val="0"/>
          <w:bCs/>
        </w:rPr>
      </w:pPr>
      <w:r>
        <w:rPr>
          <w:b w:val="0"/>
          <w:bCs/>
        </w:rPr>
        <w:t xml:space="preserve">Erik Heinle, Constellation, will move and </w:t>
      </w:r>
      <w:r w:rsidR="00011739">
        <w:rPr>
          <w:b w:val="0"/>
          <w:bCs/>
        </w:rPr>
        <w:t xml:space="preserve">Dan Pierpont, LS Power will second an </w:t>
      </w:r>
      <w:r>
        <w:rPr>
          <w:b w:val="0"/>
          <w:bCs/>
        </w:rPr>
        <w:t xml:space="preserve">alternative proposal </w:t>
      </w:r>
      <w:r w:rsidRPr="000E13C9">
        <w:rPr>
          <w:b w:val="0"/>
          <w:bCs/>
        </w:rPr>
        <w:t>for DESTF scope area 6.</w:t>
      </w:r>
      <w:r>
        <w:rPr>
          <w:b w:val="0"/>
          <w:bCs/>
        </w:rPr>
        <w:t xml:space="preserve">  </w:t>
      </w:r>
    </w:p>
    <w:p w:rsidR="004803BA" w:rsidP="004803BA" w14:paraId="74F23439" w14:textId="10A070FB">
      <w:pPr>
        <w:pStyle w:val="ListSubhead1"/>
        <w:numPr>
          <w:ilvl w:val="0"/>
          <w:numId w:val="12"/>
        </w:numPr>
        <w:rPr>
          <w:b w:val="0"/>
          <w:bCs/>
        </w:rPr>
      </w:pPr>
      <w:r>
        <w:rPr>
          <w:b w:val="0"/>
          <w:bCs/>
        </w:rPr>
        <w:t>Clara Summers, IL Citizens Utility Board, will move and</w:t>
      </w:r>
      <w:r w:rsidR="00E642F7">
        <w:rPr>
          <w:b w:val="0"/>
          <w:bCs/>
        </w:rPr>
        <w:t xml:space="preserve"> Phil Sussler, </w:t>
      </w:r>
      <w:r>
        <w:rPr>
          <w:b w:val="0"/>
          <w:bCs/>
        </w:rPr>
        <w:t>Maryland Office of People’s Counsel will second the PJM Package addressing DESTF scope area 4/5.</w:t>
      </w:r>
    </w:p>
    <w:p w:rsidR="004803BA" w:rsidRPr="004803BA" w:rsidP="004803BA" w14:paraId="0ACA6938" w14:textId="67ED328E">
      <w:pPr>
        <w:pStyle w:val="ListSubhead1"/>
        <w:numPr>
          <w:ilvl w:val="0"/>
          <w:numId w:val="0"/>
        </w:numPr>
        <w:spacing w:after="0"/>
        <w:ind w:left="360"/>
      </w:pPr>
      <w:r w:rsidRPr="004803BA">
        <w:t>The committee will be asked to endorse</w:t>
      </w:r>
      <w:r>
        <w:t xml:space="preserve"> the</w:t>
      </w:r>
      <w:r w:rsidRPr="004803BA">
        <w:t xml:space="preserve"> proposed solution</w:t>
      </w:r>
      <w:r>
        <w:t>s</w:t>
      </w:r>
      <w:r w:rsidRPr="004803BA">
        <w:t xml:space="preserve"> at this meeting.  </w:t>
      </w:r>
    </w:p>
    <w:p w:rsidR="004803BA" w:rsidP="004803BA" w14:paraId="3F9354B1" w14:textId="529A16FF">
      <w:pPr>
        <w:pStyle w:val="ListSubhead1"/>
        <w:numPr>
          <w:ilvl w:val="0"/>
          <w:numId w:val="0"/>
        </w:numPr>
        <w:ind w:left="720" w:hanging="360"/>
        <w:rPr>
          <w:b w:val="0"/>
          <w:bCs/>
        </w:rPr>
      </w:pPr>
      <w:hyperlink r:id="rId6" w:history="1">
        <w:r w:rsidRPr="00094C99">
          <w:rPr>
            <w:rStyle w:val="Hyperlink"/>
            <w:b w:val="0"/>
            <w:bCs/>
          </w:rPr>
          <w:t>Issue Tracking: Enhancements to Deactivation Rules</w:t>
        </w:r>
      </w:hyperlink>
      <w:r>
        <w:rPr>
          <w:b w:val="0"/>
          <w:bCs/>
        </w:rPr>
        <w:t xml:space="preserve"> </w:t>
      </w:r>
    </w:p>
    <w:p w:rsidR="00A4508B" w:rsidRPr="00F4749E" w:rsidP="00A4508B" w14:paraId="52B71CC6" w14:textId="6ABDA3D6">
      <w:pPr>
        <w:pStyle w:val="PrimaryHeading"/>
      </w:pPr>
      <w:r w:rsidRPr="00F4749E">
        <w:t xml:space="preserve">First </w:t>
      </w:r>
      <w:r w:rsidRPr="006E6678">
        <w:t xml:space="preserve">Readings </w:t>
      </w:r>
      <w:r w:rsidR="00D06273">
        <w:t>(</w:t>
      </w:r>
      <w:r w:rsidR="007F5BED">
        <w:t>10:30-</w:t>
      </w:r>
      <w:r w:rsidR="004E5C9C">
        <w:t>12:1</w:t>
      </w:r>
      <w:r w:rsidR="00772680">
        <w:t>0</w:t>
      </w:r>
      <w:r w:rsidR="00D06273">
        <w:t>)</w:t>
      </w:r>
    </w:p>
    <w:p w:rsidR="00A7394D" w:rsidRPr="00A7394D" w:rsidP="00A7394D" w14:paraId="01B4757D" w14:textId="0AAC97F0">
      <w:pPr>
        <w:pStyle w:val="ListSubhead1"/>
        <w:spacing w:after="240"/>
        <w:rPr>
          <w:b w:val="0"/>
          <w:bCs/>
          <w:u w:val="single"/>
        </w:rPr>
      </w:pPr>
      <w:r w:rsidRPr="00A7394D">
        <w:rPr>
          <w:b w:val="0"/>
          <w:bCs/>
          <w:u w:val="single"/>
        </w:rPr>
        <w:t xml:space="preserve">Periodic Review </w:t>
      </w:r>
      <w:r w:rsidR="00B80F5E">
        <w:rPr>
          <w:b w:val="0"/>
          <w:bCs/>
          <w:u w:val="single"/>
        </w:rPr>
        <w:t>of Gross</w:t>
      </w:r>
      <w:r w:rsidRPr="00A7394D">
        <w:rPr>
          <w:b w:val="0"/>
          <w:bCs/>
          <w:u w:val="single"/>
        </w:rPr>
        <w:t xml:space="preserve"> CONE </w:t>
      </w:r>
      <w:r w:rsidR="00B80F5E">
        <w:rPr>
          <w:b w:val="0"/>
          <w:bCs/>
          <w:u w:val="single"/>
        </w:rPr>
        <w:t xml:space="preserve">and Gross ACR Default </w:t>
      </w:r>
      <w:r w:rsidRPr="00A7394D">
        <w:rPr>
          <w:b w:val="0"/>
          <w:bCs/>
          <w:u w:val="single"/>
        </w:rPr>
        <w:t>Values</w:t>
      </w:r>
      <w:r w:rsidR="00B80F5E">
        <w:rPr>
          <w:b w:val="0"/>
          <w:bCs/>
          <w:u w:val="single"/>
        </w:rPr>
        <w:t xml:space="preserve"> (10:30-</w:t>
      </w:r>
      <w:r w:rsidR="004526C4">
        <w:rPr>
          <w:b w:val="0"/>
          <w:bCs/>
          <w:u w:val="single"/>
        </w:rPr>
        <w:t>11:05</w:t>
      </w:r>
      <w:r w:rsidR="00B80F5E">
        <w:rPr>
          <w:b w:val="0"/>
          <w:bCs/>
          <w:u w:val="single"/>
        </w:rPr>
        <w:t>)</w:t>
      </w:r>
      <w:r w:rsidRPr="00A7394D">
        <w:rPr>
          <w:b w:val="0"/>
          <w:bCs/>
          <w:u w:val="single"/>
        </w:rPr>
        <w:t xml:space="preserve"> </w:t>
      </w:r>
    </w:p>
    <w:p w:rsidR="00B80F5E" w:rsidRPr="00B80F5E" w:rsidP="00B80F5E" w14:paraId="680297F7" w14:textId="01A9EA90">
      <w:pPr>
        <w:pStyle w:val="ListSubhead1"/>
        <w:numPr>
          <w:ilvl w:val="0"/>
          <w:numId w:val="22"/>
        </w:numPr>
        <w:rPr>
          <w:b w:val="0"/>
          <w:bCs/>
        </w:rPr>
      </w:pPr>
      <w:r w:rsidRPr="00B80F5E">
        <w:rPr>
          <w:b w:val="0"/>
          <w:bCs/>
        </w:rPr>
        <w:t>Pete Langbein will review the current process and proposed default Gross CONE values used for MOPR purposes.</w:t>
      </w:r>
    </w:p>
    <w:p w:rsidR="00B80F5E" w:rsidP="00B80F5E" w14:paraId="468CCE73" w14:textId="7B0A1C9B">
      <w:pPr>
        <w:pStyle w:val="ListSubhead1"/>
        <w:numPr>
          <w:ilvl w:val="0"/>
          <w:numId w:val="22"/>
        </w:numPr>
        <w:rPr>
          <w:b w:val="0"/>
          <w:bCs/>
        </w:rPr>
      </w:pPr>
      <w:r w:rsidRPr="00B80F5E">
        <w:rPr>
          <w:b w:val="0"/>
          <w:bCs/>
        </w:rPr>
        <w:t>Andrew Thompson, Brattle Group, will review proposed default Gross ACR values used for MOPR and market seller offer cap (“MSOC”) purposes.</w:t>
      </w:r>
    </w:p>
    <w:p w:rsidR="00551436" w:rsidRPr="00551436" w:rsidP="00551436" w14:paraId="642C03DE" w14:textId="1F168546">
      <w:pPr>
        <w:pStyle w:val="ListSubhead1"/>
        <w:numPr>
          <w:ilvl w:val="0"/>
          <w:numId w:val="0"/>
        </w:numPr>
        <w:spacing w:after="240"/>
        <w:ind w:left="360"/>
        <w:rPr>
          <w:b w:val="0"/>
          <w:bCs/>
          <w:u w:val="single"/>
        </w:rPr>
      </w:pPr>
      <w:r w:rsidRPr="00551436">
        <w:rPr>
          <w:b w:val="0"/>
          <w:bCs/>
        </w:rPr>
        <w:t>The committee will be asked to provide an advisory vote on the proposed changes and corresponding Tariff revisions</w:t>
      </w:r>
      <w:r>
        <w:rPr>
          <w:b w:val="0"/>
          <w:bCs/>
        </w:rPr>
        <w:t xml:space="preserve"> at its next meeting</w:t>
      </w:r>
      <w:r w:rsidRPr="00551436">
        <w:rPr>
          <w:b w:val="0"/>
          <w:bCs/>
        </w:rPr>
        <w:t xml:space="preserve">. </w:t>
      </w:r>
      <w:r>
        <w:rPr>
          <w:b w:val="0"/>
          <w:bCs/>
        </w:rPr>
        <w:t>Same day</w:t>
      </w:r>
      <w:r w:rsidRPr="00551436">
        <w:rPr>
          <w:b w:val="0"/>
          <w:bCs/>
        </w:rPr>
        <w:t xml:space="preserve"> advisory vote may be sought at the Members Committee. </w:t>
      </w:r>
    </w:p>
    <w:p w:rsidR="00C72073" w:rsidP="00F15DA0" w14:paraId="6A5F7007" w14:textId="5EF33D24">
      <w:pPr>
        <w:pStyle w:val="ListSubhead1"/>
        <w:spacing w:after="240"/>
        <w:rPr>
          <w:b w:val="0"/>
          <w:bCs/>
          <w:u w:val="single"/>
        </w:rPr>
      </w:pPr>
      <w:r>
        <w:rPr>
          <w:b w:val="0"/>
          <w:bCs/>
          <w:u w:val="single"/>
        </w:rPr>
        <w:t xml:space="preserve">Planning Parameter Deadline Reform </w:t>
      </w:r>
      <w:r>
        <w:rPr>
          <w:b w:val="0"/>
          <w:bCs/>
          <w:u w:val="single"/>
        </w:rPr>
        <w:t>(</w:t>
      </w:r>
      <w:r w:rsidR="004526C4">
        <w:rPr>
          <w:b w:val="0"/>
          <w:bCs/>
          <w:u w:val="single"/>
        </w:rPr>
        <w:t>11:05-11:30</w:t>
      </w:r>
      <w:r>
        <w:rPr>
          <w:b w:val="0"/>
          <w:bCs/>
          <w:u w:val="single"/>
        </w:rPr>
        <w:t>)</w:t>
      </w:r>
    </w:p>
    <w:p w:rsidR="00951301" w:rsidP="00951301" w14:paraId="1C715D7B" w14:textId="6ACECCDB">
      <w:pPr>
        <w:pStyle w:val="ListSubhead1"/>
        <w:numPr>
          <w:ilvl w:val="0"/>
          <w:numId w:val="0"/>
        </w:numPr>
        <w:spacing w:after="240"/>
        <w:ind w:left="360"/>
        <w:rPr>
          <w:b w:val="0"/>
          <w:bCs/>
        </w:rPr>
      </w:pPr>
      <w:r>
        <w:rPr>
          <w:b w:val="0"/>
          <w:bCs/>
        </w:rPr>
        <w:t xml:space="preserve">Andrew Gledhill will review a Problem Statement, Issue Charge, and proposed solution and corresponding Tariff and Reliability Assurance Agreement (RAA) revisions addressing planning parameter deadline reform. </w:t>
      </w:r>
      <w:r w:rsidRPr="00951301">
        <w:rPr>
          <w:b w:val="0"/>
          <w:bCs/>
        </w:rPr>
        <w:t xml:space="preserve">The committee will be asked to approve the issue charge and endorse the </w:t>
      </w:r>
      <w:r>
        <w:rPr>
          <w:b w:val="0"/>
          <w:bCs/>
        </w:rPr>
        <w:t xml:space="preserve">proposed </w:t>
      </w:r>
      <w:r w:rsidRPr="00951301">
        <w:rPr>
          <w:b w:val="0"/>
          <w:bCs/>
        </w:rPr>
        <w:t xml:space="preserve">solution </w:t>
      </w:r>
      <w:r>
        <w:rPr>
          <w:b w:val="0"/>
          <w:bCs/>
        </w:rPr>
        <w:t xml:space="preserve">and corresponding Tariff and RAA revisions </w:t>
      </w:r>
      <w:r w:rsidRPr="00951301">
        <w:rPr>
          <w:b w:val="0"/>
          <w:bCs/>
        </w:rPr>
        <w:t xml:space="preserve">as part of the Quick Fix process outlined in Section 8.6.1 of Manual 34 at </w:t>
      </w:r>
      <w:r>
        <w:rPr>
          <w:b w:val="0"/>
          <w:bCs/>
        </w:rPr>
        <w:t>its</w:t>
      </w:r>
      <w:r w:rsidRPr="00951301">
        <w:rPr>
          <w:b w:val="0"/>
          <w:bCs/>
        </w:rPr>
        <w:t xml:space="preserve"> next meeting.</w:t>
      </w:r>
      <w:r>
        <w:rPr>
          <w:b w:val="0"/>
          <w:bCs/>
        </w:rPr>
        <w:t xml:space="preserve"> </w:t>
      </w:r>
      <w:r w:rsidRPr="00951301">
        <w:rPr>
          <w:b w:val="0"/>
          <w:bCs/>
        </w:rPr>
        <w:t>Same day endorsement may be sought at the Members Committee</w:t>
      </w:r>
      <w:r>
        <w:rPr>
          <w:b w:val="0"/>
          <w:bCs/>
        </w:rPr>
        <w:t>.</w:t>
      </w:r>
    </w:p>
    <w:p w:rsidR="00B15A4D" w:rsidP="00951301" w14:paraId="55D7CBFE" w14:textId="0494CA6F">
      <w:pPr>
        <w:pStyle w:val="ListSubhead1"/>
        <w:spacing w:after="240"/>
        <w:rPr>
          <w:b w:val="0"/>
          <w:bCs/>
          <w:u w:val="single"/>
        </w:rPr>
      </w:pPr>
      <w:r w:rsidRPr="00F06138">
        <w:rPr>
          <w:b w:val="0"/>
          <w:bCs/>
          <w:u w:val="single"/>
        </w:rPr>
        <w:t>Manuals (</w:t>
      </w:r>
      <w:r w:rsidR="004526C4">
        <w:rPr>
          <w:b w:val="0"/>
          <w:bCs/>
          <w:u w:val="single"/>
        </w:rPr>
        <w:t>11:30-12:</w:t>
      </w:r>
      <w:r w:rsidR="00E660D6">
        <w:rPr>
          <w:b w:val="0"/>
          <w:bCs/>
          <w:u w:val="single"/>
        </w:rPr>
        <w:t>10</w:t>
      </w:r>
      <w:r w:rsidRPr="00F06138">
        <w:rPr>
          <w:b w:val="0"/>
          <w:bCs/>
          <w:u w:val="single"/>
        </w:rPr>
        <w:t xml:space="preserve">) </w:t>
      </w:r>
    </w:p>
    <w:p w:rsidR="00217E40" w:rsidP="00BF4AC1" w14:paraId="64958B77" w14:textId="55979507">
      <w:pPr>
        <w:pStyle w:val="ListSubhead1"/>
        <w:numPr>
          <w:ilvl w:val="0"/>
          <w:numId w:val="8"/>
        </w:numPr>
        <w:rPr>
          <w:b w:val="0"/>
          <w:bCs/>
        </w:rPr>
      </w:pPr>
      <w:r w:rsidRPr="00217E40">
        <w:rPr>
          <w:b w:val="0"/>
          <w:bCs/>
        </w:rPr>
        <w:t>Awais Ghayas</w:t>
      </w:r>
      <w:r>
        <w:rPr>
          <w:b w:val="0"/>
          <w:bCs/>
        </w:rPr>
        <w:t xml:space="preserve"> will review proposed revisions to</w:t>
      </w:r>
      <w:r w:rsidRPr="00217E40">
        <w:rPr>
          <w:b w:val="0"/>
          <w:bCs/>
        </w:rPr>
        <w:t xml:space="preserve"> Manual 14H: New Service Requests Cycle Process </w:t>
      </w:r>
      <w:r>
        <w:rPr>
          <w:b w:val="0"/>
          <w:bCs/>
        </w:rPr>
        <w:t xml:space="preserve">addressing the adoption of </w:t>
      </w:r>
      <w:r w:rsidRPr="00217E40">
        <w:rPr>
          <w:b w:val="0"/>
          <w:bCs/>
        </w:rPr>
        <w:t>IEEE</w:t>
      </w:r>
      <w:r>
        <w:rPr>
          <w:b w:val="0"/>
          <w:bCs/>
        </w:rPr>
        <w:t>-</w:t>
      </w:r>
      <w:r w:rsidRPr="00217E40">
        <w:rPr>
          <w:b w:val="0"/>
          <w:bCs/>
        </w:rPr>
        <w:t>2800</w:t>
      </w:r>
      <w:r>
        <w:rPr>
          <w:b w:val="0"/>
          <w:bCs/>
        </w:rPr>
        <w:t xml:space="preserve"> requirements</w:t>
      </w:r>
      <w:r w:rsidRPr="00217E40">
        <w:rPr>
          <w:b w:val="0"/>
          <w:bCs/>
        </w:rPr>
        <w:t>.</w:t>
      </w:r>
      <w:r>
        <w:rPr>
          <w:b w:val="0"/>
          <w:bCs/>
        </w:rPr>
        <w:t xml:space="preserve">  The committee will be asked to endorse the proposed revisions at its next meeting.  </w:t>
      </w:r>
    </w:p>
    <w:p w:rsidR="006A64C3" w:rsidP="00BF4AC1" w14:paraId="416D3616" w14:textId="7E99927C">
      <w:pPr>
        <w:pStyle w:val="ListSubhead1"/>
        <w:numPr>
          <w:ilvl w:val="0"/>
          <w:numId w:val="8"/>
        </w:numPr>
        <w:rPr>
          <w:b w:val="0"/>
          <w:bCs/>
        </w:rPr>
      </w:pPr>
      <w:r w:rsidRPr="006A64C3">
        <w:rPr>
          <w:b w:val="0"/>
          <w:bCs/>
        </w:rPr>
        <w:t>Pete Langbein</w:t>
      </w:r>
      <w:r>
        <w:rPr>
          <w:b w:val="0"/>
          <w:bCs/>
        </w:rPr>
        <w:t xml:space="preserve"> will review proposed revisions to </w:t>
      </w:r>
      <w:r w:rsidRPr="006A64C3">
        <w:rPr>
          <w:b w:val="0"/>
          <w:bCs/>
        </w:rPr>
        <w:t>Manual 18: PJM Capacity Market</w:t>
      </w:r>
      <w:r>
        <w:rPr>
          <w:b w:val="0"/>
          <w:bCs/>
        </w:rPr>
        <w:t xml:space="preserve"> resulting from its periodic review and conforming to various FERC Dockets, including </w:t>
      </w:r>
      <w:r w:rsidRPr="006A64C3">
        <w:rPr>
          <w:b w:val="0"/>
          <w:bCs/>
        </w:rPr>
        <w:t>ER26-980, ER26-455, ER25-783, ER25-2002, and ER24-2447-003</w:t>
      </w:r>
      <w:r>
        <w:rPr>
          <w:b w:val="0"/>
          <w:bCs/>
        </w:rPr>
        <w:t xml:space="preserve">.  The committee will be asked to endorse the proposed revisions at its next meeting. </w:t>
      </w:r>
    </w:p>
    <w:p w:rsidR="00094C99" w:rsidP="007F5BED" w14:paraId="4AEEB3D6" w14:textId="019C0F13">
      <w:pPr>
        <w:pStyle w:val="ListSubhead1"/>
        <w:numPr>
          <w:ilvl w:val="0"/>
          <w:numId w:val="8"/>
        </w:numPr>
        <w:rPr>
          <w:b w:val="0"/>
          <w:bCs/>
        </w:rPr>
      </w:pPr>
      <w:r w:rsidRPr="009A5FB9">
        <w:rPr>
          <w:b w:val="0"/>
          <w:bCs/>
        </w:rPr>
        <w:t>Joshua Bruno</w:t>
      </w:r>
      <w:r>
        <w:rPr>
          <w:b w:val="0"/>
          <w:bCs/>
        </w:rPr>
        <w:t xml:space="preserve"> will review proposed revisions to </w:t>
      </w:r>
      <w:r w:rsidRPr="009A5FB9">
        <w:rPr>
          <w:b w:val="0"/>
          <w:bCs/>
        </w:rPr>
        <w:t xml:space="preserve">Manual 21B: PJM Rules and Procedures for Determination of Generating Capability as part of its periodic review. The committee will be asked to endorse </w:t>
      </w:r>
      <w:r>
        <w:rPr>
          <w:b w:val="0"/>
          <w:bCs/>
        </w:rPr>
        <w:t xml:space="preserve">the proposed revisions </w:t>
      </w:r>
      <w:r w:rsidRPr="009A5FB9">
        <w:rPr>
          <w:b w:val="0"/>
          <w:bCs/>
        </w:rPr>
        <w:t>at its next meeting.</w:t>
      </w:r>
    </w:p>
    <w:p w:rsidR="004526C4" w:rsidRPr="004526C4" w:rsidP="004526C4" w14:paraId="73DB0B15" w14:textId="67829562">
      <w:pPr>
        <w:pStyle w:val="PrimaryHeading"/>
      </w:pPr>
      <w:r w:rsidRPr="004526C4">
        <w:t>Lunch 12:</w:t>
      </w:r>
      <w:r w:rsidR="00E660D6">
        <w:t>10</w:t>
      </w:r>
      <w:r>
        <w:t>-1:</w:t>
      </w:r>
      <w:r w:rsidR="00E660D6">
        <w:t>10</w:t>
      </w:r>
    </w:p>
    <w:p w:rsidR="004526C4" w:rsidP="004526C4" w14:paraId="32A35FC0" w14:textId="77777777">
      <w:pPr>
        <w:pStyle w:val="ListSubhead1"/>
        <w:numPr>
          <w:ilvl w:val="0"/>
          <w:numId w:val="0"/>
        </w:numPr>
        <w:ind w:left="360" w:hanging="360"/>
        <w:rPr>
          <w:b w:val="0"/>
          <w:bCs/>
        </w:rPr>
      </w:pPr>
    </w:p>
    <w:p w:rsidR="00951301" w:rsidRPr="00951301" w:rsidP="00951301" w14:paraId="58B6A51E" w14:textId="4532D6C9">
      <w:pPr>
        <w:pStyle w:val="PrimaryHeading"/>
      </w:pPr>
      <w:r w:rsidRPr="00951301">
        <w:t xml:space="preserve">Informational Report </w:t>
      </w:r>
      <w:r>
        <w:t>(</w:t>
      </w:r>
      <w:r w:rsidR="004526C4">
        <w:t>1:</w:t>
      </w:r>
      <w:r w:rsidR="00C95F4C">
        <w:t>1</w:t>
      </w:r>
      <w:r w:rsidR="00E660D6">
        <w:t>0</w:t>
      </w:r>
      <w:r w:rsidR="00C95F4C">
        <w:t>-1:</w:t>
      </w:r>
      <w:r w:rsidR="008F16FD">
        <w:t>50</w:t>
      </w:r>
      <w:r w:rsidR="00191C30">
        <w:t>)</w:t>
      </w:r>
    </w:p>
    <w:p w:rsidR="00FC4550" w:rsidRPr="008B3290" w:rsidP="00FC4550" w14:paraId="744D91CC" w14:textId="31EF34E2">
      <w:pPr>
        <w:pStyle w:val="ListSubhead1"/>
        <w:rPr>
          <w:b w:val="0"/>
          <w:bCs/>
          <w:u w:val="single"/>
        </w:rPr>
      </w:pPr>
      <w:r w:rsidRPr="008B3290">
        <w:rPr>
          <w:b w:val="0"/>
          <w:bCs/>
          <w:u w:val="single"/>
        </w:rPr>
        <w:t>Review of IRM / FPR Results for 2029/2030 Base Residual Auction (1:1</w:t>
      </w:r>
      <w:r w:rsidR="00E660D6">
        <w:rPr>
          <w:b w:val="0"/>
          <w:bCs/>
          <w:u w:val="single"/>
        </w:rPr>
        <w:t>0</w:t>
      </w:r>
      <w:r w:rsidRPr="008B3290">
        <w:rPr>
          <w:b w:val="0"/>
          <w:bCs/>
          <w:u w:val="single"/>
        </w:rPr>
        <w:t>-1:</w:t>
      </w:r>
      <w:r w:rsidR="00E660D6">
        <w:rPr>
          <w:b w:val="0"/>
          <w:bCs/>
          <w:u w:val="single"/>
        </w:rPr>
        <w:t>35</w:t>
      </w:r>
      <w:r w:rsidRPr="008B3290">
        <w:rPr>
          <w:b w:val="0"/>
          <w:bCs/>
          <w:u w:val="single"/>
        </w:rPr>
        <w:t>)</w:t>
      </w:r>
    </w:p>
    <w:p w:rsidR="00FC4550" w:rsidP="00FC4550" w14:paraId="5EDF3D83" w14:textId="78C965B6">
      <w:pPr>
        <w:pStyle w:val="ListSubhead1"/>
        <w:numPr>
          <w:ilvl w:val="0"/>
          <w:numId w:val="0"/>
        </w:numPr>
        <w:ind w:left="360"/>
        <w:rPr>
          <w:b w:val="0"/>
          <w:bCs/>
        </w:rPr>
      </w:pPr>
      <w:r w:rsidRPr="008B3290">
        <w:rPr>
          <w:b w:val="0"/>
          <w:bCs/>
        </w:rPr>
        <w:t xml:space="preserve">Patricio Rocha-Garrido will review the Installed Reserve Margin (IRM) and Forecast Pool Requirement (FPR) results for the 2029/2030 Base Residual Auction (BRA).  </w:t>
      </w:r>
    </w:p>
    <w:p w:rsidR="008F16FD" w:rsidP="008F16FD" w14:paraId="08ECAB8F" w14:textId="77777777">
      <w:pPr>
        <w:pStyle w:val="ListSubhead1"/>
        <w:rPr>
          <w:b w:val="0"/>
          <w:bCs/>
          <w:u w:val="single"/>
        </w:rPr>
      </w:pPr>
      <w:r w:rsidRPr="00306D4C">
        <w:rPr>
          <w:b w:val="0"/>
          <w:bCs/>
          <w:u w:val="single"/>
        </w:rPr>
        <w:t xml:space="preserve">Storage </w:t>
      </w:r>
      <w:r>
        <w:rPr>
          <w:b w:val="0"/>
          <w:bCs/>
          <w:u w:val="single"/>
        </w:rPr>
        <w:t>as a</w:t>
      </w:r>
      <w:r w:rsidRPr="00306D4C">
        <w:rPr>
          <w:b w:val="0"/>
          <w:bCs/>
          <w:u w:val="single"/>
        </w:rPr>
        <w:t xml:space="preserve"> Transmission Asset (SATA)</w:t>
      </w:r>
      <w:r>
        <w:rPr>
          <w:b w:val="0"/>
          <w:bCs/>
          <w:u w:val="single"/>
        </w:rPr>
        <w:t xml:space="preserve"> (1:35-1:50) </w:t>
      </w:r>
    </w:p>
    <w:p w:rsidR="008F16FD" w:rsidP="008F16FD" w14:paraId="7A7E53E7" w14:textId="77777777">
      <w:pPr>
        <w:pStyle w:val="ListSubhead1"/>
        <w:numPr>
          <w:ilvl w:val="0"/>
          <w:numId w:val="0"/>
        </w:numPr>
        <w:spacing w:after="0"/>
        <w:ind w:left="360"/>
        <w:rPr>
          <w:b w:val="0"/>
          <w:bCs/>
        </w:rPr>
      </w:pPr>
      <w:r>
        <w:rPr>
          <w:b w:val="0"/>
          <w:bCs/>
        </w:rPr>
        <w:t xml:space="preserve">Jeff Schmitt will review a proposed solution addressing Storage as a Transmission Asset (SATA) including Phases I and II.  The committee will be asked to endorse the proposed solution at its next meeting. </w:t>
      </w:r>
    </w:p>
    <w:p w:rsidR="008F16FD" w:rsidP="008F16FD" w14:paraId="5B65C5A5" w14:textId="77777777">
      <w:pPr>
        <w:pStyle w:val="ListSubhead1"/>
        <w:numPr>
          <w:ilvl w:val="0"/>
          <w:numId w:val="0"/>
        </w:numPr>
        <w:ind w:left="360"/>
      </w:pPr>
      <w:hyperlink r:id="rId7" w:history="1">
        <w:r w:rsidRPr="00AC186E">
          <w:rPr>
            <w:rStyle w:val="Hyperlink"/>
            <w:b w:val="0"/>
            <w:bCs/>
          </w:rPr>
          <w:t xml:space="preserve">Issue Tracking: </w:t>
        </w:r>
        <w:r w:rsidRPr="00AC186E">
          <w:rPr>
            <w:rStyle w:val="Hyperlink"/>
            <w:b w:val="0"/>
            <w:bCs/>
            <w:szCs w:val="24"/>
          </w:rPr>
          <w:t>Storage as a Transmission Asset – Phase II</w:t>
        </w:r>
      </w:hyperlink>
    </w:p>
    <w:p w:rsidR="00FC4550" w:rsidRPr="00FC4550" w:rsidP="00FC4550" w14:paraId="5E44B359" w14:textId="489D636D">
      <w:pPr>
        <w:pStyle w:val="PrimaryHeading"/>
      </w:pPr>
      <w:r>
        <w:t xml:space="preserve">Informational Posting Only </w:t>
      </w:r>
    </w:p>
    <w:p w:rsidR="004526C4" w:rsidRPr="00326D67" w:rsidP="004526C4" w14:paraId="25000A8C" w14:textId="59F1642A">
      <w:pPr>
        <w:pStyle w:val="ListSubhead1"/>
        <w:rPr>
          <w:b w:val="0"/>
          <w:bCs/>
          <w:u w:val="single"/>
        </w:rPr>
      </w:pPr>
      <w:r w:rsidRPr="00326D67">
        <w:rPr>
          <w:b w:val="0"/>
          <w:bCs/>
          <w:u w:val="single"/>
        </w:rPr>
        <w:t xml:space="preserve">2028/2029 Base Residual Auction </w:t>
      </w:r>
      <w:r>
        <w:rPr>
          <w:b w:val="0"/>
          <w:bCs/>
          <w:u w:val="single"/>
        </w:rPr>
        <w:t>R</w:t>
      </w:r>
      <w:r w:rsidRPr="00326D67">
        <w:rPr>
          <w:b w:val="0"/>
          <w:bCs/>
          <w:u w:val="single"/>
        </w:rPr>
        <w:t>esults</w:t>
      </w:r>
    </w:p>
    <w:p w:rsidR="008E3F54" w:rsidRPr="00B84F62" w:rsidP="00FC4550" w14:paraId="0E9048CC" w14:textId="261DE7B6">
      <w:pPr>
        <w:pStyle w:val="ListSubhead1"/>
        <w:numPr>
          <w:ilvl w:val="0"/>
          <w:numId w:val="0"/>
        </w:numPr>
        <w:ind w:left="360"/>
        <w:rPr>
          <w:b w:val="0"/>
          <w:bCs/>
        </w:rPr>
      </w:pPr>
      <w:r>
        <w:rPr>
          <w:b w:val="0"/>
          <w:bCs/>
        </w:rPr>
        <w:t xml:space="preserve">PJM </w:t>
      </w:r>
      <w:hyperlink r:id="rId8" w:history="1">
        <w:r w:rsidRPr="008F6542" w:rsidR="008F6542">
          <w:rPr>
            <w:rStyle w:val="Hyperlink"/>
            <w:b w:val="0"/>
            <w:bCs/>
          </w:rPr>
          <w:t>report</w:t>
        </w:r>
      </w:hyperlink>
      <w:r w:rsidR="00FC4550">
        <w:rPr>
          <w:b w:val="0"/>
          <w:bCs/>
        </w:rPr>
        <w:t xml:space="preserve"> of the</w:t>
      </w:r>
      <w:r w:rsidRPr="00B84F62" w:rsidR="004526C4">
        <w:rPr>
          <w:b w:val="0"/>
          <w:bCs/>
        </w:rPr>
        <w:t xml:space="preserve"> 2028/2029 </w:t>
      </w:r>
      <w:r w:rsidR="00FC4550">
        <w:rPr>
          <w:b w:val="0"/>
          <w:bCs/>
        </w:rPr>
        <w:t>BRA results</w:t>
      </w:r>
      <w:r w:rsidRPr="00B84F62" w:rsidR="004526C4">
        <w:rPr>
          <w:b w:val="0"/>
          <w:bCs/>
        </w:rPr>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444C06D1" w14:textId="77777777" w:rsidTr="008A094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653C98" w14:paraId="460837A8" w14:textId="5FF25992">
            <w:pPr>
              <w:pStyle w:val="PrimaryHeading"/>
              <w:spacing w:after="0"/>
            </w:pPr>
            <w:r w:rsidRPr="0095194C">
              <w:rPr>
                <w:b/>
              </w:rPr>
              <w:t xml:space="preserve">Future Agenda </w:t>
            </w:r>
            <w:r w:rsidRPr="006E6678" w:rsidR="00F0521D">
              <w:rPr>
                <w:b/>
              </w:rPr>
              <w:t xml:space="preserve">Items </w:t>
            </w:r>
            <w:r w:rsidR="00A638A5">
              <w:rPr>
                <w:b/>
              </w:rPr>
              <w:t>(</w:t>
            </w:r>
            <w:r w:rsidR="00FC4550">
              <w:rPr>
                <w:b/>
              </w:rPr>
              <w:t>1:</w:t>
            </w:r>
            <w:r w:rsidR="00BE79F6">
              <w:rPr>
                <w:b/>
              </w:rPr>
              <w:t>5</w:t>
            </w:r>
            <w:r w:rsidR="008F16FD">
              <w:rPr>
                <w:b/>
              </w:rPr>
              <w:t>0</w:t>
            </w:r>
            <w:r w:rsidR="00BA1FC0">
              <w:rPr>
                <w:b/>
              </w:rPr>
              <w:t>)</w:t>
            </w:r>
          </w:p>
        </w:tc>
      </w:tr>
      <w:tr w14:paraId="65992A56" w14:textId="77777777" w:rsidTr="008A0942">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4417C5" w:rsidP="009D7613" w14:paraId="33AE5126" w14:textId="77777777">
            <w:pPr>
              <w:pStyle w:val="AttendeesList"/>
            </w:pPr>
          </w:p>
          <w:p w:rsidR="004417C5" w:rsidP="009D7613" w14:paraId="416BF4BF" w14:textId="77777777">
            <w:pPr>
              <w:pStyle w:val="AttendeesList"/>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00"/>
        <w:gridCol w:w="3420"/>
        <w:gridCol w:w="1816"/>
        <w:gridCol w:w="1604"/>
      </w:tblGrid>
      <w:tr w14:paraId="694ABAB2" w14:textId="77777777" w:rsidTr="008A0942">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FFA151C"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7808B447"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0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0F8F139"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61CCAF9B" w14:textId="77777777" w:rsidTr="008A0942">
        <w:tblPrEx>
          <w:tblW w:w="9360" w:type="dxa"/>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2E93832" w14:textId="77777777">
            <w:pPr>
              <w:pStyle w:val="DisclaimerHeading"/>
              <w:keepLines/>
              <w:spacing w:after="60"/>
              <w:jc w:val="center"/>
              <w:rPr>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81DD34B" w14:textId="77777777">
            <w:pPr>
              <w:pStyle w:val="DisclaimerHeading"/>
              <w:keepLines/>
              <w:spacing w:after="60"/>
              <w:jc w:val="center"/>
              <w:rPr>
                <w:color w:val="auto"/>
                <w:sz w:val="19"/>
                <w:szCs w:val="19"/>
              </w:rPr>
            </w:pPr>
            <w:r w:rsidRPr="00BB6921">
              <w:rPr>
                <w:color w:val="auto"/>
                <w:sz w:val="19"/>
                <w:szCs w:val="19"/>
              </w:rPr>
              <w:t>Time</w:t>
            </w:r>
          </w:p>
        </w:tc>
        <w:tc>
          <w:tcPr>
            <w:tcW w:w="342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B3FCB46"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49660CFA" w14:textId="77777777">
            <w:pPr>
              <w:pStyle w:val="DisclaimerHeading"/>
              <w:keepLines/>
              <w:jc w:val="center"/>
              <w:rPr>
                <w:color w:val="FFFFFF" w:themeColor="background1"/>
                <w:sz w:val="19"/>
                <w:szCs w:val="19"/>
              </w:rPr>
            </w:pPr>
          </w:p>
        </w:tc>
        <w:tc>
          <w:tcPr>
            <w:tcW w:w="160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B0CB6C6" w14:textId="77777777">
            <w:pPr>
              <w:pStyle w:val="DisclaimerHeading"/>
              <w:keepLines/>
              <w:jc w:val="center"/>
              <w:rPr>
                <w:color w:val="FFFFFF" w:themeColor="background1"/>
                <w:sz w:val="19"/>
                <w:szCs w:val="19"/>
              </w:rPr>
            </w:pPr>
          </w:p>
        </w:tc>
      </w:tr>
      <w:tr w14:paraId="3AB860F9" w14:textId="77777777" w:rsidTr="008A0942">
        <w:tblPrEx>
          <w:tblW w:w="9360" w:type="dxa"/>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479B9E2" w14:textId="77777777">
            <w:pPr>
              <w:pStyle w:val="DisclaimerHeading"/>
              <w:keepLines/>
              <w:spacing w:before="40" w:after="40" w:line="220" w:lineRule="exact"/>
              <w:rPr>
                <w:b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CDCCE25" w14:textId="77777777">
            <w:pPr>
              <w:pStyle w:val="DisclaimerHeading"/>
              <w:keepLines/>
              <w:spacing w:before="40" w:after="40" w:line="220" w:lineRule="exact"/>
              <w:rPr>
                <w:b w:val="0"/>
                <w:color w:val="auto"/>
                <w:sz w:val="18"/>
                <w:szCs w:val="18"/>
              </w:rPr>
            </w:pPr>
          </w:p>
        </w:tc>
        <w:tc>
          <w:tcPr>
            <w:tcW w:w="3420" w:type="dxa"/>
            <w:vMerge/>
            <w:tcBorders>
              <w:top w:val="single" w:sz="12" w:space="0" w:color="013366" w:themeColor="accent1"/>
              <w:left w:val="single" w:sz="6" w:space="0" w:color="FFFFFF" w:themeColor="background1"/>
              <w:right w:val="single" w:sz="8" w:space="0" w:color="auto"/>
            </w:tcBorders>
          </w:tcPr>
          <w:p w:rsidR="00CE451E" w:rsidRPr="00C10A93" w:rsidP="00CE451E" w14:paraId="4DDD4060" w14:textId="77777777">
            <w:pPr>
              <w:pStyle w:val="AttendeesList"/>
              <w:keepLines/>
              <w:spacing w:before="40" w:after="40" w:line="220" w:lineRule="exact"/>
              <w:rPr>
                <w:szCs w:val="18"/>
              </w:rPr>
            </w:pPr>
          </w:p>
        </w:tc>
        <w:tc>
          <w:tcPr>
            <w:tcW w:w="342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3BFB8209"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168F1C1B" w14:textId="77777777" w:rsidTr="008A0942">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56B43636" w14:textId="77777777">
            <w:pPr>
              <w:pStyle w:val="DisclaimerHeading"/>
              <w:spacing w:before="40" w:after="40" w:line="220" w:lineRule="exact"/>
              <w:rPr>
                <w:bCs/>
                <w:sz w:val="18"/>
                <w:szCs w:val="18"/>
              </w:rPr>
            </w:pPr>
            <w:r>
              <w:rPr>
                <w:bCs/>
                <w:sz w:val="18"/>
                <w:szCs w:val="18"/>
              </w:rPr>
              <w:t>August 19,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5A90A2F0"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79C7AB8C" w14:textId="7777777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7C0D1C4E" w14:textId="77777777">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1E03E5AF" w14:textId="77777777">
            <w:pPr>
              <w:pStyle w:val="DisclaimerHeading"/>
              <w:spacing w:before="40" w:after="40" w:line="220" w:lineRule="exact"/>
              <w:jc w:val="center"/>
              <w:rPr>
                <w:b w:val="0"/>
                <w:color w:val="auto"/>
                <w:sz w:val="18"/>
                <w:szCs w:val="18"/>
              </w:rPr>
            </w:pPr>
            <w:r>
              <w:rPr>
                <w:b w:val="0"/>
                <w:color w:val="auto"/>
                <w:sz w:val="18"/>
                <w:szCs w:val="18"/>
              </w:rPr>
              <w:t>August 12, 2026</w:t>
            </w:r>
          </w:p>
        </w:tc>
      </w:tr>
      <w:tr w14:paraId="20DD0380" w14:textId="77777777" w:rsidTr="008A0942">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0B35EDC3" w14:textId="77777777">
            <w:pPr>
              <w:pStyle w:val="DisclaimerHeading"/>
              <w:spacing w:before="40" w:after="40" w:line="220" w:lineRule="exact"/>
              <w:rPr>
                <w:bCs/>
                <w:sz w:val="18"/>
                <w:szCs w:val="18"/>
              </w:rPr>
            </w:pPr>
            <w:r>
              <w:rPr>
                <w:bCs/>
                <w:sz w:val="18"/>
                <w:szCs w:val="18"/>
              </w:rPr>
              <w:t>September 24,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2EEEFCED"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2169D496" w14:textId="7777777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740D32B7" w14:textId="77777777">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395F8779" w14:textId="77777777">
            <w:pPr>
              <w:pStyle w:val="DisclaimerHeading"/>
              <w:spacing w:before="40" w:after="40" w:line="220" w:lineRule="exact"/>
              <w:jc w:val="center"/>
              <w:rPr>
                <w:b w:val="0"/>
                <w:color w:val="auto"/>
                <w:sz w:val="18"/>
                <w:szCs w:val="18"/>
              </w:rPr>
            </w:pPr>
            <w:r>
              <w:rPr>
                <w:b w:val="0"/>
                <w:color w:val="auto"/>
                <w:sz w:val="18"/>
                <w:szCs w:val="18"/>
              </w:rPr>
              <w:t>September 17, 2026</w:t>
            </w:r>
          </w:p>
        </w:tc>
      </w:tr>
      <w:tr w14:paraId="67596B5F" w14:textId="77777777" w:rsidTr="008A0942">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59DC1778" w14:textId="77777777">
            <w:pPr>
              <w:pStyle w:val="DisclaimerHeading"/>
              <w:spacing w:before="40" w:after="40" w:line="220" w:lineRule="exact"/>
              <w:rPr>
                <w:bCs/>
                <w:sz w:val="18"/>
                <w:szCs w:val="18"/>
              </w:rPr>
            </w:pPr>
            <w:r>
              <w:rPr>
                <w:bCs/>
                <w:sz w:val="18"/>
                <w:szCs w:val="18"/>
              </w:rPr>
              <w:t>October 28,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6B7D4BDB"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40D3F4AA" w14:textId="7777777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1E5DEB03" w14:textId="77777777">
            <w:pPr>
              <w:pStyle w:val="DisclaimerHeading"/>
              <w:spacing w:before="40" w:after="40" w:line="220" w:lineRule="exact"/>
              <w:jc w:val="center"/>
              <w:rPr>
                <w:b w:val="0"/>
                <w:color w:val="auto"/>
                <w:sz w:val="18"/>
                <w:szCs w:val="18"/>
              </w:rPr>
            </w:pPr>
            <w:r>
              <w:rPr>
                <w:b w:val="0"/>
                <w:color w:val="auto"/>
                <w:sz w:val="18"/>
                <w:szCs w:val="18"/>
              </w:rPr>
              <w:t>Octo</w:t>
            </w:r>
            <w:r w:rsidR="00426A85">
              <w:rPr>
                <w:b w:val="0"/>
                <w:color w:val="auto"/>
                <w:sz w:val="18"/>
                <w:szCs w:val="18"/>
              </w:rPr>
              <w:t>b</w:t>
            </w:r>
            <w:r>
              <w:rPr>
                <w:b w:val="0"/>
                <w:color w:val="auto"/>
                <w:sz w:val="18"/>
                <w:szCs w:val="18"/>
              </w:rPr>
              <w:t>er 16,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140D8FFC" w14:textId="77777777">
            <w:pPr>
              <w:pStyle w:val="DisclaimerHeading"/>
              <w:spacing w:before="40" w:after="40" w:line="220" w:lineRule="exact"/>
              <w:jc w:val="center"/>
              <w:rPr>
                <w:b w:val="0"/>
                <w:color w:val="auto"/>
                <w:sz w:val="18"/>
                <w:szCs w:val="18"/>
              </w:rPr>
            </w:pPr>
            <w:r>
              <w:rPr>
                <w:b w:val="0"/>
                <w:color w:val="auto"/>
                <w:sz w:val="18"/>
                <w:szCs w:val="18"/>
              </w:rPr>
              <w:t>October 21, 2026</w:t>
            </w:r>
          </w:p>
        </w:tc>
      </w:tr>
      <w:tr w14:paraId="5FD97FB4" w14:textId="77777777" w:rsidTr="008A0942">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4C4795" w:rsidP="00857EA0" w14:paraId="6C78F785" w14:textId="77777777">
            <w:pPr>
              <w:pStyle w:val="DisclaimerHeading"/>
              <w:spacing w:before="40" w:after="40" w:line="220" w:lineRule="exact"/>
              <w:rPr>
                <w:bCs/>
                <w:sz w:val="18"/>
                <w:szCs w:val="18"/>
              </w:rPr>
            </w:pPr>
            <w:r>
              <w:rPr>
                <w:bCs/>
                <w:sz w:val="18"/>
                <w:szCs w:val="18"/>
              </w:rPr>
              <w:t>November 18, 2026</w:t>
            </w:r>
          </w:p>
        </w:tc>
        <w:tc>
          <w:tcPr>
            <w:tcW w:w="900" w:type="dxa"/>
            <w:tcBorders>
              <w:top w:val="single" w:sz="4" w:space="0" w:color="auto"/>
              <w:left w:val="single" w:sz="4" w:space="0" w:color="auto"/>
              <w:bottom w:val="single" w:sz="4" w:space="0" w:color="auto"/>
              <w:right w:val="single" w:sz="4" w:space="0" w:color="auto"/>
            </w:tcBorders>
          </w:tcPr>
          <w:p w:rsidR="004C4795" w:rsidP="00857EA0" w14:paraId="77BCAB9D"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4C4795" w:rsidP="00857EA0" w14:paraId="1C10A172" w14:textId="7777777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4C4795" w:rsidP="00857EA0" w14:paraId="450E4C2F" w14:textId="77777777">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tcBorders>
              <w:top w:val="single" w:sz="4" w:space="0" w:color="auto"/>
              <w:left w:val="single" w:sz="4" w:space="0" w:color="auto"/>
              <w:bottom w:val="single" w:sz="4" w:space="0" w:color="auto"/>
              <w:right w:val="single" w:sz="4" w:space="0" w:color="auto"/>
            </w:tcBorders>
          </w:tcPr>
          <w:p w:rsidR="004C4795" w:rsidP="00857EA0" w14:paraId="508D82A3" w14:textId="77777777">
            <w:pPr>
              <w:pStyle w:val="DisclaimerHeading"/>
              <w:spacing w:before="40" w:after="40" w:line="220" w:lineRule="exact"/>
              <w:jc w:val="center"/>
              <w:rPr>
                <w:b w:val="0"/>
                <w:color w:val="auto"/>
                <w:sz w:val="18"/>
                <w:szCs w:val="18"/>
              </w:rPr>
            </w:pPr>
            <w:r>
              <w:rPr>
                <w:b w:val="0"/>
                <w:color w:val="auto"/>
                <w:sz w:val="18"/>
                <w:szCs w:val="18"/>
              </w:rPr>
              <w:t>November 11, 2026</w:t>
            </w:r>
          </w:p>
        </w:tc>
      </w:tr>
      <w:tr w14:paraId="2A4C337C" w14:textId="77777777" w:rsidTr="008A0942">
        <w:tblPrEx>
          <w:tblW w:w="9360" w:type="dxa"/>
          <w:tblLook w:val="04A0"/>
        </w:tblPrEx>
        <w:trPr>
          <w:trHeight w:val="331"/>
        </w:trPr>
        <w:tc>
          <w:tcPr>
            <w:tcW w:w="1620" w:type="dxa"/>
            <w:tcBorders>
              <w:top w:val="single" w:sz="4" w:space="0" w:color="auto"/>
              <w:right w:val="single" w:sz="4" w:space="0" w:color="auto"/>
            </w:tcBorders>
            <w:shd w:val="clear" w:color="auto" w:fill="E1F6FF"/>
          </w:tcPr>
          <w:p w:rsidR="004C4795" w:rsidP="00857EA0" w14:paraId="36050A16" w14:textId="77777777">
            <w:pPr>
              <w:pStyle w:val="DisclaimerHeading"/>
              <w:spacing w:before="40" w:after="40" w:line="220" w:lineRule="exact"/>
              <w:rPr>
                <w:bCs/>
                <w:sz w:val="18"/>
                <w:szCs w:val="18"/>
              </w:rPr>
            </w:pPr>
            <w:r>
              <w:rPr>
                <w:bCs/>
                <w:sz w:val="18"/>
                <w:szCs w:val="18"/>
              </w:rPr>
              <w:t>December 16, 2026</w:t>
            </w:r>
          </w:p>
        </w:tc>
        <w:tc>
          <w:tcPr>
            <w:tcW w:w="900" w:type="dxa"/>
            <w:tcBorders>
              <w:top w:val="single" w:sz="4" w:space="0" w:color="auto"/>
              <w:left w:val="single" w:sz="4" w:space="0" w:color="auto"/>
              <w:right w:val="single" w:sz="4" w:space="0" w:color="auto"/>
            </w:tcBorders>
          </w:tcPr>
          <w:p w:rsidR="004C4795" w:rsidP="00857EA0" w14:paraId="7A60C4D5"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right w:val="single" w:sz="4" w:space="0" w:color="auto"/>
            </w:tcBorders>
          </w:tcPr>
          <w:p w:rsidR="004C4795" w:rsidP="00857EA0" w14:paraId="6D6C0D39" w14:textId="7777777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right w:val="single" w:sz="4" w:space="0" w:color="auto"/>
            </w:tcBorders>
          </w:tcPr>
          <w:p w:rsidR="004C4795" w:rsidP="00857EA0" w14:paraId="654428A2" w14:textId="77777777">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tcBorders>
              <w:top w:val="single" w:sz="4" w:space="0" w:color="auto"/>
              <w:left w:val="single" w:sz="4" w:space="0" w:color="auto"/>
              <w:right w:val="single" w:sz="4" w:space="0" w:color="auto"/>
            </w:tcBorders>
          </w:tcPr>
          <w:p w:rsidR="004C4795" w:rsidP="00857EA0" w14:paraId="02D7C278" w14:textId="77777777">
            <w:pPr>
              <w:pStyle w:val="DisclaimerHeading"/>
              <w:spacing w:before="40" w:after="40" w:line="220" w:lineRule="exact"/>
              <w:jc w:val="center"/>
              <w:rPr>
                <w:b w:val="0"/>
                <w:color w:val="auto"/>
                <w:sz w:val="18"/>
                <w:szCs w:val="18"/>
              </w:rPr>
            </w:pPr>
            <w:r>
              <w:rPr>
                <w:b w:val="0"/>
                <w:color w:val="auto"/>
                <w:sz w:val="18"/>
                <w:szCs w:val="18"/>
              </w:rPr>
              <w:t>December 9, 2026</w:t>
            </w:r>
          </w:p>
        </w:tc>
      </w:tr>
    </w:tbl>
    <w:p w:rsidR="003C3320" w:rsidP="00CE451E" w14:paraId="485FF73D" w14:textId="77777777">
      <w:pPr>
        <w:pStyle w:val="DisclaimerBodyCopy"/>
        <w:keepLines/>
        <w:spacing w:before="60"/>
        <w:jc w:val="right"/>
      </w:pPr>
      <w:r>
        <w:rPr>
          <w:color w:val="1F497D"/>
        </w:rPr>
        <w:t>*Materials received after 12:00 p.m. EPT are not guaranteed timely posting by 5:00 p.m. EPT on the same day.</w:t>
      </w:r>
    </w:p>
    <w:p w:rsidR="00B62597" w:rsidP="00337321" w14:paraId="249CABD0" w14:textId="77777777">
      <w:pPr>
        <w:pStyle w:val="Author"/>
      </w:pPr>
      <w:r>
        <w:t xml:space="preserve">Author: </w:t>
      </w:r>
      <w:r w:rsidR="00857EA0">
        <w:t xml:space="preserve">M. Greening </w:t>
      </w:r>
    </w:p>
    <w:p w:rsidR="00A42740" w:rsidP="00337321" w14:paraId="29781D6F" w14:textId="77777777">
      <w:pPr>
        <w:pStyle w:val="Author"/>
      </w:pPr>
    </w:p>
    <w:p w:rsidR="00B62597" w:rsidRPr="00B62597" w:rsidP="00DB29E9" w14:paraId="000E011F" w14:textId="77777777">
      <w:pPr>
        <w:pStyle w:val="DisclaimerHeading"/>
      </w:pPr>
      <w:r>
        <w:t>Anti</w:t>
      </w:r>
      <w:r w:rsidRPr="00B62597">
        <w:t>trust:</w:t>
      </w:r>
    </w:p>
    <w:p w:rsidR="0012286E" w:rsidRPr="00CE4AA3" w:rsidP="0012286E" w14:paraId="344DB4EA" w14:textId="77777777">
      <w:pPr>
        <w:spacing w:after="0"/>
        <w:rPr>
          <w:rFonts w:ascii="Arial Narrow" w:hAnsi="Arial Narrow" w:cs="Nirmala UI"/>
          <w:sz w:val="16"/>
          <w:szCs w:val="16"/>
        </w:rPr>
      </w:pPr>
      <w:r w:rsidRPr="00CE4AA3">
        <w:rPr>
          <w:rFonts w:ascii="Arial Narrow" w:hAnsi="Arial Narrow" w:cs="Nirmala UI"/>
          <w:sz w:val="16"/>
          <w:szCs w:val="16"/>
        </w:rPr>
        <w:t>It is PJM’s policy to comply with applicable antitrust laws.  Participants must not disclose or exchange non-public, competitively sensitive information about their individual business strategies. Prohibited topics include, but are not limited to:</w:t>
      </w:r>
    </w:p>
    <w:p w:rsidR="0012286E" w:rsidRPr="00CE4AA3" w:rsidP="006E6678" w14:paraId="242246C2"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 xml:space="preserve">Non-public individual pricing strategies, bidding strategies, or offer practices     </w:t>
      </w:r>
    </w:p>
    <w:p w:rsidR="0012286E" w:rsidRPr="00CE4AA3" w:rsidP="006E6678" w14:paraId="5201481B"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forecasts of prices, costs, output, or market behavior</w:t>
      </w:r>
    </w:p>
    <w:p w:rsidR="0012286E" w:rsidRPr="00CE4AA3" w:rsidP="006E6678" w14:paraId="16382687"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information about the availability, output or production costs of specific resources or services</w:t>
      </w:r>
    </w:p>
    <w:p w:rsidR="0012286E" w:rsidRPr="00CE4AA3" w:rsidP="006E6678" w14:paraId="032AC00B"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Confidential terms or conditions of sale, service, or trading strategies</w:t>
      </w:r>
    </w:p>
    <w:p w:rsidR="0012286E" w:rsidRPr="00CE4AA3" w:rsidP="006E6678" w14:paraId="1A1625EA"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Planned or potential allocation of specific customers, suppliers, or markets among competitors</w:t>
      </w:r>
    </w:p>
    <w:p w:rsidR="0012286E" w:rsidRPr="00CE4AA3" w:rsidP="006E6678" w14:paraId="5EB93329"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Agreements or understandings between or among competitors to limit supply, coordinate bidding, fix prices, divide markets, or refuse to deal with particular entities</w:t>
      </w:r>
    </w:p>
    <w:p w:rsidR="0012286E" w:rsidRPr="00CE4AA3" w:rsidP="006E6678" w14:paraId="01ECA2BC"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Any other communication that could unreasonably restrain competition or coordinate competitive behavior among market participants</w:t>
      </w:r>
    </w:p>
    <w:p w:rsidR="0012286E" w:rsidRPr="00CE4AA3" w:rsidP="0012286E" w14:paraId="6E2BBCEB" w14:textId="77777777">
      <w:pPr>
        <w:rPr>
          <w:rFonts w:ascii="Arial Narrow" w:hAnsi="Arial Narrow" w:cs="Nirmala UI"/>
          <w:sz w:val="16"/>
          <w:szCs w:val="16"/>
        </w:rPr>
      </w:pPr>
      <w:r w:rsidRPr="00CE4AA3">
        <w:rPr>
          <w:rFonts w:ascii="Arial Narrow" w:hAnsi="Arial Narrow" w:cs="Nirmala UI"/>
          <w:sz w:val="16"/>
          <w:szCs w:val="16"/>
        </w:rP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12286E" w:rsidRPr="00CE4AA3" w:rsidP="0012286E" w14:paraId="1EFB6D2D" w14:textId="77777777">
      <w:pPr>
        <w:rPr>
          <w:rFonts w:ascii="Arial Narrow" w:hAnsi="Arial Narrow" w:cs="Nirmala UI"/>
          <w:sz w:val="16"/>
          <w:szCs w:val="16"/>
        </w:rPr>
      </w:pPr>
      <w:r w:rsidRPr="00CE4AA3">
        <w:rPr>
          <w:rFonts w:ascii="Arial Narrow" w:hAnsi="Arial Narrow" w:cs="Nirmala UI"/>
          <w:sz w:val="16"/>
          <w:szCs w:val="16"/>
        </w:rPr>
        <w:t xml:space="preserve">If prohibited topics are raised, the Chair will redirect the conversation. If the discussion continues, participants may be asked to leave the meeting or the meeting may be adjourned. For more information, please refer to </w:t>
      </w:r>
      <w:r w:rsidRPr="00CE4AA3">
        <w:rPr>
          <w:rFonts w:ascii="Arial Narrow" w:hAnsi="Arial Narrow" w:cs="Nirmala UI"/>
          <w:sz w:val="16"/>
          <w:szCs w:val="16"/>
          <w:u w:val="single"/>
        </w:rPr>
        <w:t>PJM’s Antitrust Guidelines for Stakeholder Meetings</w:t>
      </w:r>
      <w:r w:rsidRPr="00CE4AA3">
        <w:rPr>
          <w:rFonts w:ascii="Arial Narrow" w:hAnsi="Arial Narrow" w:cs="Nirmala UI"/>
          <w:sz w:val="16"/>
          <w:szCs w:val="16"/>
        </w:rPr>
        <w:t xml:space="preserve">, which are posted on PJM’s Committees and Groups page, </w:t>
      </w:r>
      <w:hyperlink r:id="rId9" w:history="1">
        <w:r w:rsidRPr="00CE4AA3">
          <w:rPr>
            <w:rStyle w:val="Hyperlink"/>
            <w:rFonts w:ascii="Arial Narrow" w:hAnsi="Arial Narrow" w:cs="Nirmala UI"/>
            <w:sz w:val="16"/>
            <w:szCs w:val="16"/>
          </w:rPr>
          <w:t>https://www.pjm.com/committees-and-groups</w:t>
        </w:r>
      </w:hyperlink>
      <w:r w:rsidRPr="00CE4AA3">
        <w:rPr>
          <w:rFonts w:ascii="Arial Narrow" w:hAnsi="Arial Narrow" w:cs="Nirmala UI"/>
          <w:sz w:val="16"/>
          <w:szCs w:val="16"/>
        </w:rPr>
        <w:t>.</w:t>
      </w:r>
    </w:p>
    <w:p w:rsidR="004F3D57" w:rsidRPr="00B62597" w:rsidP="004F3D57" w14:paraId="2E980DD2" w14:textId="77777777">
      <w:pPr>
        <w:pStyle w:val="DisclaimerHeading"/>
        <w:spacing w:before="240"/>
      </w:pPr>
      <w:r w:rsidRPr="00B62597">
        <w:t>Code of Conduct:</w:t>
      </w:r>
    </w:p>
    <w:p w:rsidR="004F3D57" w:rsidRPr="00B62597" w:rsidP="004F3D57" w14:paraId="1A570D27"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10" w:history="1">
        <w:r w:rsidRPr="00FA5955">
          <w:rPr>
            <w:rStyle w:val="Hyperlink"/>
          </w:rPr>
          <w:t>PJM Code of Conduct</w:t>
        </w:r>
      </w:hyperlink>
      <w:r w:rsidRPr="00FA5955">
        <w:t>.</w:t>
      </w:r>
    </w:p>
    <w:p w:rsidR="00B62597" w:rsidRPr="00B62597" w:rsidP="004F3D57" w14:paraId="18A05F2C" w14:textId="77777777">
      <w:pPr>
        <w:pStyle w:val="DisclaimerHeading"/>
        <w:spacing w:before="240"/>
      </w:pPr>
      <w:r w:rsidRPr="00B62597">
        <w:t xml:space="preserve">Public Meetings/Media Participation: </w:t>
      </w:r>
    </w:p>
    <w:p w:rsidR="00DE34CF" w:rsidP="00337321" w14:paraId="5B6FD1D5"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6BD1B0B8" w14:textId="77777777">
      <w:pPr>
        <w:pStyle w:val="DisclaimerHeading"/>
        <w:spacing w:before="240"/>
      </w:pPr>
      <w:r>
        <w:t xml:space="preserve">Participant Identification in </w:t>
      </w:r>
      <w:r w:rsidR="00711249">
        <w:t>Webex</w:t>
      </w:r>
      <w:r>
        <w:t>:</w:t>
      </w:r>
    </w:p>
    <w:p w:rsidR="00027F49" w:rsidP="00027F49" w14:paraId="6675629A"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40548D2E"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06B8F262" w14:textId="77777777">
      <w:pPr>
        <w:pStyle w:val="DisclaimerHeading"/>
        <w:spacing w:before="240"/>
      </w:pPr>
      <w:r w:rsidRPr="00D827A6">
        <w:t>Participant Use of Webex Chat:</w:t>
      </w:r>
    </w:p>
    <w:p w:rsidR="00D827A6" w:rsidP="00D827A6" w14:paraId="003756D2" w14:textId="77777777">
      <w:pPr>
        <w:pStyle w:val="DisclaimerBodyCopy"/>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speaker queue.  </w:t>
      </w:r>
    </w:p>
    <w:p w:rsidR="00D827A6" w:rsidP="00027F49" w14:paraId="660A7920" w14:textId="77777777">
      <w:pPr>
        <w:pStyle w:val="DisclaimerBodyCopy"/>
      </w:pPr>
    </w:p>
    <w:p w:rsidR="00027F49" w:rsidP="00027F49" w14:paraId="3AD59B5E" w14:textId="77777777">
      <w:pPr>
        <w:pStyle w:val="DisclosureBody"/>
      </w:pPr>
    </w:p>
    <w:p w:rsidR="00027F49" w:rsidP="00027F49" w14:paraId="2FB625BD"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5943600" cy="983615"/>
                    </a:xfrm>
                    <a:prstGeom prst="rect">
                      <a:avLst/>
                    </a:prstGeom>
                  </pic:spPr>
                </pic:pic>
              </a:graphicData>
            </a:graphic>
          </wp:inline>
        </w:drawing>
      </w:r>
    </w:p>
    <w:p w:rsidR="00027F49" w:rsidP="00027F49" w14:paraId="79D28D29" w14:textId="77777777">
      <w:pPr>
        <w:pStyle w:val="DisclaimerHeading"/>
      </w:pPr>
    </w:p>
    <w:p w:rsidR="00027F49" w:rsidRPr="009C15C4" w:rsidP="00027F49" w14:paraId="1D7E655E"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2"/>
                    <a:stretch>
                      <a:fillRect/>
                    </a:stretch>
                  </pic:blipFill>
                  <pic:spPr>
                    <a:xfrm>
                      <a:off x="0" y="0"/>
                      <a:ext cx="5943600" cy="1217930"/>
                    </a:xfrm>
                    <a:prstGeom prst="rect">
                      <a:avLst/>
                    </a:prstGeom>
                  </pic:spPr>
                </pic:pic>
              </a:graphicData>
            </a:graphic>
          </wp:inline>
        </w:drawing>
      </w:r>
    </w:p>
    <w:p w:rsidR="00BF4AC1" w:rsidP="009C15C4" w14:paraId="749570DD" w14:textId="77777777"/>
    <w:p w:rsidR="00BF4AC1" w:rsidP="009C15C4" w14:paraId="3F0072AD" w14:textId="77777777"/>
    <w:p w:rsidR="0057441E" w:rsidRPr="009C15C4" w:rsidP="009C15C4" w14:paraId="15038A36" w14:textId="2417C580">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099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3"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4"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520994" w:rsidRPr="0025139E" w:rsidP="009C15C4" w14:paraId="2EAD1512"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3"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4"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523AE1">
      <w:headerReference w:type="default" r:id="rId15"/>
      <w:footerReference w:type="even" r:id="rId16"/>
      <w:footerReference w:type="default" r:id="rId17"/>
      <w:pgSz w:w="12240" w:h="15840"/>
      <w:pgMar w:top="2358" w:right="1440" w:bottom="1260" w:left="1440" w:header="720" w:footer="576"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14:paraId="1910C4C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20994" w14:paraId="335A6F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P="00DB29E9" w14:paraId="4A09D8F4"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653C98">
      <w:rPr>
        <w:rStyle w:val="PageNumber"/>
        <w:noProof/>
      </w:rPr>
      <w:t>1</w:t>
    </w:r>
    <w:r>
      <w:rPr>
        <w:rStyle w:val="PageNumber"/>
      </w:rPr>
      <w:fldChar w:fldCharType="end"/>
    </w:r>
  </w:p>
  <w:bookmarkStart w:id="2" w:name="OLE_LINK1"/>
  <w:p w:rsidR="00520994" w:rsidRPr="001678E8" w14:paraId="76D4EF24"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1"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2"/>
    <w:r>
      <w:rPr>
        <w:rFonts w:ascii="Arial Narrow" w:hAnsi="Arial Narrow"/>
        <w:sz w:val="20"/>
      </w:rPr>
      <w:t>2</w:t>
    </w:r>
    <w:r w:rsidR="003D6950">
      <w:rPr>
        <w:rFonts w:ascii="Arial Narrow" w:hAnsi="Arial Narrow"/>
        <w:sz w:val="20"/>
      </w:rPr>
      <w:t>6</w:t>
    </w:r>
    <w:r>
      <w:rPr>
        <w:rFonts w:ascii="Arial Narrow" w:hAnsi="Arial Narrow"/>
        <w:sz w:val="20"/>
      </w:rPr>
      <w:tab/>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RPr="00711249" w:rsidP="00711249" w14:paraId="13B65C01" w14:textId="324CE94B">
    <w:pPr>
      <w:pStyle w:val="PostingDate"/>
      <w:rPr>
        <w:sz w:val="16"/>
      </w:rPr>
    </w:pPr>
    <w:r w:rsidRPr="00711249">
      <mc:AlternateContent>
        <mc:Choice Requires="wps">
          <w:drawing>
            <wp:anchor distT="0" distB="0" distL="114300" distR="114300" simplePos="0" relativeHeight="251660288" behindDoc="0" locked="0" layoutInCell="1" allowOverlap="1">
              <wp:simplePos x="0" y="0"/>
              <wp:positionH relativeFrom="column">
                <wp:posOffset>-584200</wp:posOffset>
              </wp:positionH>
              <wp:positionV relativeFrom="paragraph">
                <wp:posOffset>101600</wp:posOffset>
              </wp:positionV>
              <wp:extent cx="7210425" cy="1549019"/>
              <wp:effectExtent l="0" t="0" r="0" b="3175"/>
              <wp:wrapNone/>
              <wp:docPr id="15823511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3927D5" w:rsidRPr="001D3B68" w:rsidP="003927D5" w14:textId="77777777">
                          <w:pPr>
                            <w:pStyle w:val="HeaderTitle"/>
                            <w:jc w:val="center"/>
                            <w:rPr>
                              <w:rFonts w:ascii="Arial Narrow" w:hAnsi="Arial Narrow"/>
                              <w:b/>
                            </w:rPr>
                          </w:pPr>
                          <w:r w:rsidRPr="001D3B68">
                            <w:rPr>
                              <w:rFonts w:ascii="Arial Narrow" w:hAnsi="Arial Narrow"/>
                              <w:b/>
                            </w:rPr>
                            <w:t>Agend</w:t>
                          </w:r>
                          <w:r>
                            <w:rPr>
                              <w:rFonts w:ascii="Arial Narrow" w:hAnsi="Arial Narrow"/>
                              <w:b/>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1.95pt;margin-top:8pt;margin-left:-46pt;mso-height-percent:200;mso-height-relative:margin;mso-width-percent:0;mso-width-relative:margin;mso-wrap-distance-bottom:0;mso-wrap-distance-left:9pt;mso-wrap-distance-right:9pt;mso-wrap-distance-top:0;mso-wrap-style:square;position:absolute;visibility:visible;v-text-anchor:top;z-index:251661312" filled="f" stroked="f">
              <v:textbox style="mso-fit-shape-to-text:t">
                <w:txbxContent>
                  <w:p w:rsidR="003927D5" w:rsidRPr="001D3B68" w:rsidP="003927D5" w14:paraId="31AA8492" w14:textId="77777777">
                    <w:pPr>
                      <w:pStyle w:val="HeaderTitle"/>
                      <w:jc w:val="center"/>
                      <w:rPr>
                        <w:rFonts w:ascii="Arial Narrow" w:hAnsi="Arial Narrow"/>
                        <w:b/>
                      </w:rPr>
                    </w:pPr>
                    <w:r w:rsidRPr="001D3B68">
                      <w:rPr>
                        <w:rFonts w:ascii="Arial Narrow" w:hAnsi="Arial Narrow"/>
                        <w:b/>
                      </w:rPr>
                      <w:t>Agend</w:t>
                    </w:r>
                    <w:r>
                      <w:rPr>
                        <w:rFonts w:ascii="Arial Narrow" w:hAnsi="Arial Narrow"/>
                        <w:b/>
                      </w:rPr>
                      <w:t>a</w:t>
                    </w:r>
                  </w:p>
                </w:txbxContent>
              </v:textbox>
            </v:shape>
          </w:pict>
        </mc:Fallback>
      </mc:AlternateContent>
    </w:r>
    <w:r w:rsidRPr="00711249" w:rsidR="00520994">
      <mc:AlternateContent>
        <mc:Choice Requires="wps">
          <w:drawing>
            <wp:anchor distT="0" distB="0" distL="114300" distR="114300" simplePos="0" relativeHeight="251659264" behindDoc="0" locked="0" layoutInCell="1" allowOverlap="1">
              <wp:simplePos x="0" y="0"/>
              <wp:positionH relativeFrom="column">
                <wp:posOffset>-2257425</wp:posOffset>
              </wp:positionH>
              <wp:positionV relativeFrom="paragraph">
                <wp:posOffset>933450</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2050" type="#_x0000_t202" style="width:567.75pt;height:121.95pt;margin-top:73.5pt;margin-left:-177.75pt;mso-height-percent:200;mso-height-relative:margin;mso-width-percent:0;mso-width-relative:margin;mso-wrap-distance-bottom:0;mso-wrap-distance-left:9pt;mso-wrap-distance-right:9pt;mso-wrap-distance-top:0;mso-wrap-style:square;position:absolute;visibility:visible;v-text-anchor:top;z-index:251662336" filled="f" stroked="f"/>
          </w:pict>
        </mc:Fallback>
      </mc:AlternateContent>
    </w:r>
    <w:r w:rsidRPr="00711249" w:rsidR="00520994">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0994">
      <w:t xml:space="preserve">As </w:t>
    </w:r>
    <w:r w:rsidR="009E1E39">
      <w:t xml:space="preserve">of </w:t>
    </w:r>
    <w:r w:rsidR="004803BA">
      <w:t>July 21</w:t>
    </w:r>
    <w:r w:rsidR="00523AE1">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11F07"/>
    <w:multiLevelType w:val="hybridMultilevel"/>
    <w:tmpl w:val="0FB4C80A"/>
    <w:lvl w:ilvl="0">
      <w:start w:val="1"/>
      <w:numFmt w:val="upp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B5084"/>
    <w:multiLevelType w:val="hybridMultilevel"/>
    <w:tmpl w:val="33BC3D0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1E86087"/>
    <w:multiLevelType w:val="hybridMultilevel"/>
    <w:tmpl w:val="9A540204"/>
    <w:lvl w:ilvl="0">
      <w:start w:val="1"/>
      <w:numFmt w:val="decimal"/>
      <w:pStyle w:val="ListSubhead1"/>
      <w:lvlText w:val="%1."/>
      <w:lvlJc w:val="left"/>
      <w:pPr>
        <w:ind w:left="360" w:hanging="360"/>
      </w:pPr>
      <w:rPr>
        <w:rFonts w:hint="default"/>
        <w:b w:val="0"/>
      </w:rPr>
    </w:lvl>
    <w:lvl w:ilvl="1">
      <w:start w:val="1"/>
      <w:numFmt w:val="upperLetter"/>
      <w:lvlText w:val="%2."/>
      <w:lvlJc w:val="left"/>
      <w:pPr>
        <w:ind w:left="-8640" w:hanging="360"/>
      </w:pPr>
    </w:lvl>
    <w:lvl w:ilvl="2">
      <w:start w:val="1"/>
      <w:numFmt w:val="upperLetter"/>
      <w:lvlText w:val="%3."/>
      <w:lvlJc w:val="left"/>
      <w:pPr>
        <w:ind w:left="1800" w:hanging="180"/>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E080363"/>
    <w:multiLevelType w:val="hybridMultilevel"/>
    <w:tmpl w:val="3680393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C787C3C"/>
    <w:multiLevelType w:val="hybridMultilevel"/>
    <w:tmpl w:val="8A7642D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4"/>
  </w:num>
  <w:num w:numId="6">
    <w:abstractNumId w:val="4"/>
  </w:num>
  <w:num w:numId="7">
    <w:abstractNumId w:val="4"/>
  </w:num>
  <w:num w:numId="8">
    <w:abstractNumId w:val="5"/>
  </w:num>
  <w:num w:numId="9">
    <w:abstractNumId w:val="4"/>
  </w:num>
  <w:num w:numId="10">
    <w:abstractNumId w:val="4"/>
  </w:num>
  <w:num w:numId="11">
    <w:abstractNumId w:val="4"/>
  </w:num>
  <w:num w:numId="12">
    <w:abstractNumId w:val="2"/>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D09"/>
    <w:rsid w:val="00000BE4"/>
    <w:rsid w:val="0000365B"/>
    <w:rsid w:val="00010057"/>
    <w:rsid w:val="00011739"/>
    <w:rsid w:val="00013607"/>
    <w:rsid w:val="000140C5"/>
    <w:rsid w:val="000177E6"/>
    <w:rsid w:val="0001793A"/>
    <w:rsid w:val="00022A74"/>
    <w:rsid w:val="000232DF"/>
    <w:rsid w:val="00024530"/>
    <w:rsid w:val="00026A70"/>
    <w:rsid w:val="00027F49"/>
    <w:rsid w:val="00031DE7"/>
    <w:rsid w:val="00032181"/>
    <w:rsid w:val="000333FF"/>
    <w:rsid w:val="00035E27"/>
    <w:rsid w:val="000409C3"/>
    <w:rsid w:val="00041DEE"/>
    <w:rsid w:val="0004345A"/>
    <w:rsid w:val="00046389"/>
    <w:rsid w:val="00046EFB"/>
    <w:rsid w:val="00047F12"/>
    <w:rsid w:val="0005005C"/>
    <w:rsid w:val="000538D7"/>
    <w:rsid w:val="00057FF8"/>
    <w:rsid w:val="00060B44"/>
    <w:rsid w:val="00064E52"/>
    <w:rsid w:val="00065755"/>
    <w:rsid w:val="00065F49"/>
    <w:rsid w:val="000664E3"/>
    <w:rsid w:val="0006798D"/>
    <w:rsid w:val="00070C90"/>
    <w:rsid w:val="00071222"/>
    <w:rsid w:val="00071C85"/>
    <w:rsid w:val="00076336"/>
    <w:rsid w:val="000801F8"/>
    <w:rsid w:val="0008512B"/>
    <w:rsid w:val="00085DCE"/>
    <w:rsid w:val="000910DC"/>
    <w:rsid w:val="00092135"/>
    <w:rsid w:val="0009340B"/>
    <w:rsid w:val="00094C99"/>
    <w:rsid w:val="00095DC4"/>
    <w:rsid w:val="00096230"/>
    <w:rsid w:val="000968D8"/>
    <w:rsid w:val="00096FF6"/>
    <w:rsid w:val="00097AB4"/>
    <w:rsid w:val="000A3348"/>
    <w:rsid w:val="000A59DC"/>
    <w:rsid w:val="000A6305"/>
    <w:rsid w:val="000A712C"/>
    <w:rsid w:val="000A739E"/>
    <w:rsid w:val="000B3970"/>
    <w:rsid w:val="000B6A2F"/>
    <w:rsid w:val="000C1B0A"/>
    <w:rsid w:val="000D2D3B"/>
    <w:rsid w:val="000D3513"/>
    <w:rsid w:val="000D7597"/>
    <w:rsid w:val="000D7C29"/>
    <w:rsid w:val="000E0B3E"/>
    <w:rsid w:val="000E13C9"/>
    <w:rsid w:val="000E15D3"/>
    <w:rsid w:val="000E40F1"/>
    <w:rsid w:val="000E47F8"/>
    <w:rsid w:val="000E74CB"/>
    <w:rsid w:val="001053D4"/>
    <w:rsid w:val="001055A5"/>
    <w:rsid w:val="00107995"/>
    <w:rsid w:val="00112350"/>
    <w:rsid w:val="00117AF9"/>
    <w:rsid w:val="0012069F"/>
    <w:rsid w:val="00120B87"/>
    <w:rsid w:val="00121F58"/>
    <w:rsid w:val="0012286E"/>
    <w:rsid w:val="001251CB"/>
    <w:rsid w:val="00132A7B"/>
    <w:rsid w:val="001332D9"/>
    <w:rsid w:val="00135AF4"/>
    <w:rsid w:val="0013623B"/>
    <w:rsid w:val="001407C3"/>
    <w:rsid w:val="00140B58"/>
    <w:rsid w:val="00144A91"/>
    <w:rsid w:val="00144C0A"/>
    <w:rsid w:val="00151955"/>
    <w:rsid w:val="001554CF"/>
    <w:rsid w:val="001574E9"/>
    <w:rsid w:val="00162FA5"/>
    <w:rsid w:val="0016635E"/>
    <w:rsid w:val="00166B3F"/>
    <w:rsid w:val="00166DA3"/>
    <w:rsid w:val="001678E8"/>
    <w:rsid w:val="00167A4E"/>
    <w:rsid w:val="00167F7C"/>
    <w:rsid w:val="00170AB7"/>
    <w:rsid w:val="00170E02"/>
    <w:rsid w:val="00175A86"/>
    <w:rsid w:val="00177ED5"/>
    <w:rsid w:val="0018123C"/>
    <w:rsid w:val="00182831"/>
    <w:rsid w:val="00184A03"/>
    <w:rsid w:val="0019000D"/>
    <w:rsid w:val="00191C30"/>
    <w:rsid w:val="0019265A"/>
    <w:rsid w:val="0019556B"/>
    <w:rsid w:val="00197198"/>
    <w:rsid w:val="001A075A"/>
    <w:rsid w:val="001A0F35"/>
    <w:rsid w:val="001B0206"/>
    <w:rsid w:val="001B2242"/>
    <w:rsid w:val="001B3DBE"/>
    <w:rsid w:val="001B4664"/>
    <w:rsid w:val="001B5260"/>
    <w:rsid w:val="001C0CC0"/>
    <w:rsid w:val="001C0F89"/>
    <w:rsid w:val="001C0FD0"/>
    <w:rsid w:val="001C1BDA"/>
    <w:rsid w:val="001C6BD0"/>
    <w:rsid w:val="001C769E"/>
    <w:rsid w:val="001D16D0"/>
    <w:rsid w:val="001D1B51"/>
    <w:rsid w:val="001D3B68"/>
    <w:rsid w:val="001E3A2A"/>
    <w:rsid w:val="001E44F9"/>
    <w:rsid w:val="001F015F"/>
    <w:rsid w:val="001F1241"/>
    <w:rsid w:val="001F62C3"/>
    <w:rsid w:val="0020054A"/>
    <w:rsid w:val="00200A1B"/>
    <w:rsid w:val="00203EDE"/>
    <w:rsid w:val="00204176"/>
    <w:rsid w:val="00204187"/>
    <w:rsid w:val="00206D5A"/>
    <w:rsid w:val="0020765B"/>
    <w:rsid w:val="00207BFA"/>
    <w:rsid w:val="00207F54"/>
    <w:rsid w:val="00210A35"/>
    <w:rsid w:val="002113BD"/>
    <w:rsid w:val="00217E40"/>
    <w:rsid w:val="00222F9B"/>
    <w:rsid w:val="00226824"/>
    <w:rsid w:val="00227993"/>
    <w:rsid w:val="002370D8"/>
    <w:rsid w:val="00237B1D"/>
    <w:rsid w:val="00240153"/>
    <w:rsid w:val="002421F8"/>
    <w:rsid w:val="0024387D"/>
    <w:rsid w:val="002447B1"/>
    <w:rsid w:val="0025139E"/>
    <w:rsid w:val="00251E17"/>
    <w:rsid w:val="00252DF1"/>
    <w:rsid w:val="0026145E"/>
    <w:rsid w:val="002645A2"/>
    <w:rsid w:val="00266299"/>
    <w:rsid w:val="00270116"/>
    <w:rsid w:val="0027054B"/>
    <w:rsid w:val="00286E21"/>
    <w:rsid w:val="002875FF"/>
    <w:rsid w:val="0029097E"/>
    <w:rsid w:val="00290E8D"/>
    <w:rsid w:val="002A55A3"/>
    <w:rsid w:val="002A7623"/>
    <w:rsid w:val="002B0FFB"/>
    <w:rsid w:val="002B2CB6"/>
    <w:rsid w:val="002B2F98"/>
    <w:rsid w:val="002B3974"/>
    <w:rsid w:val="002B52A8"/>
    <w:rsid w:val="002B67D4"/>
    <w:rsid w:val="002C1F82"/>
    <w:rsid w:val="002C6057"/>
    <w:rsid w:val="002C6BB5"/>
    <w:rsid w:val="002D4F43"/>
    <w:rsid w:val="002D568F"/>
    <w:rsid w:val="002E0188"/>
    <w:rsid w:val="002E1FA4"/>
    <w:rsid w:val="002E443B"/>
    <w:rsid w:val="002E4A53"/>
    <w:rsid w:val="002E5C2A"/>
    <w:rsid w:val="002F1855"/>
    <w:rsid w:val="002F3F4D"/>
    <w:rsid w:val="002F5699"/>
    <w:rsid w:val="002F5845"/>
    <w:rsid w:val="002F6131"/>
    <w:rsid w:val="002F698F"/>
    <w:rsid w:val="002F69F7"/>
    <w:rsid w:val="003025A6"/>
    <w:rsid w:val="00305238"/>
    <w:rsid w:val="003066C5"/>
    <w:rsid w:val="00306D4C"/>
    <w:rsid w:val="003138A8"/>
    <w:rsid w:val="00317034"/>
    <w:rsid w:val="003220CF"/>
    <w:rsid w:val="003236AB"/>
    <w:rsid w:val="003251CE"/>
    <w:rsid w:val="00326D67"/>
    <w:rsid w:val="00327867"/>
    <w:rsid w:val="00331D7F"/>
    <w:rsid w:val="00336295"/>
    <w:rsid w:val="00337321"/>
    <w:rsid w:val="00341747"/>
    <w:rsid w:val="003421B4"/>
    <w:rsid w:val="00345F35"/>
    <w:rsid w:val="003467FF"/>
    <w:rsid w:val="00350A8B"/>
    <w:rsid w:val="003522D1"/>
    <w:rsid w:val="00355D4D"/>
    <w:rsid w:val="00355E5A"/>
    <w:rsid w:val="003564A0"/>
    <w:rsid w:val="00356C61"/>
    <w:rsid w:val="00361867"/>
    <w:rsid w:val="003650D3"/>
    <w:rsid w:val="00367787"/>
    <w:rsid w:val="00367877"/>
    <w:rsid w:val="003679A3"/>
    <w:rsid w:val="00371D9E"/>
    <w:rsid w:val="00373E5F"/>
    <w:rsid w:val="003753A1"/>
    <w:rsid w:val="00377523"/>
    <w:rsid w:val="003779F1"/>
    <w:rsid w:val="003813DC"/>
    <w:rsid w:val="0038316B"/>
    <w:rsid w:val="00386730"/>
    <w:rsid w:val="00391AE7"/>
    <w:rsid w:val="003927D5"/>
    <w:rsid w:val="00392B34"/>
    <w:rsid w:val="00394850"/>
    <w:rsid w:val="00395918"/>
    <w:rsid w:val="00396120"/>
    <w:rsid w:val="0039702E"/>
    <w:rsid w:val="003A0B17"/>
    <w:rsid w:val="003A33F5"/>
    <w:rsid w:val="003B089A"/>
    <w:rsid w:val="003B110F"/>
    <w:rsid w:val="003B3AF4"/>
    <w:rsid w:val="003B44C5"/>
    <w:rsid w:val="003B55E1"/>
    <w:rsid w:val="003B69E2"/>
    <w:rsid w:val="003B6ACD"/>
    <w:rsid w:val="003C161F"/>
    <w:rsid w:val="003C17E2"/>
    <w:rsid w:val="003C1F13"/>
    <w:rsid w:val="003C3320"/>
    <w:rsid w:val="003C3FBD"/>
    <w:rsid w:val="003C600C"/>
    <w:rsid w:val="003C781D"/>
    <w:rsid w:val="003C7FA4"/>
    <w:rsid w:val="003D0889"/>
    <w:rsid w:val="003D6950"/>
    <w:rsid w:val="003D7E5C"/>
    <w:rsid w:val="003E0024"/>
    <w:rsid w:val="003E1938"/>
    <w:rsid w:val="003E2166"/>
    <w:rsid w:val="003E243E"/>
    <w:rsid w:val="003E7A73"/>
    <w:rsid w:val="003F046E"/>
    <w:rsid w:val="003F1C3A"/>
    <w:rsid w:val="003F396B"/>
    <w:rsid w:val="00404818"/>
    <w:rsid w:val="0040626B"/>
    <w:rsid w:val="00411BF1"/>
    <w:rsid w:val="00412222"/>
    <w:rsid w:val="0041286A"/>
    <w:rsid w:val="00414E05"/>
    <w:rsid w:val="004218B2"/>
    <w:rsid w:val="0042395F"/>
    <w:rsid w:val="00426A85"/>
    <w:rsid w:val="00426C12"/>
    <w:rsid w:val="00431635"/>
    <w:rsid w:val="00433384"/>
    <w:rsid w:val="00435D79"/>
    <w:rsid w:val="004417C5"/>
    <w:rsid w:val="004459B9"/>
    <w:rsid w:val="00451D92"/>
    <w:rsid w:val="004526C4"/>
    <w:rsid w:val="00453628"/>
    <w:rsid w:val="00453AE9"/>
    <w:rsid w:val="00453DC3"/>
    <w:rsid w:val="00454A9D"/>
    <w:rsid w:val="004556A1"/>
    <w:rsid w:val="00460114"/>
    <w:rsid w:val="0046043F"/>
    <w:rsid w:val="004617FE"/>
    <w:rsid w:val="004642FD"/>
    <w:rsid w:val="00470EB6"/>
    <w:rsid w:val="00471C50"/>
    <w:rsid w:val="00473C65"/>
    <w:rsid w:val="00474D99"/>
    <w:rsid w:val="00474FB1"/>
    <w:rsid w:val="00475B05"/>
    <w:rsid w:val="00476CB4"/>
    <w:rsid w:val="004803BA"/>
    <w:rsid w:val="004819B3"/>
    <w:rsid w:val="00484742"/>
    <w:rsid w:val="00485441"/>
    <w:rsid w:val="0048557A"/>
    <w:rsid w:val="004906E6"/>
    <w:rsid w:val="0049086E"/>
    <w:rsid w:val="00491490"/>
    <w:rsid w:val="00494494"/>
    <w:rsid w:val="004959F0"/>
    <w:rsid w:val="004969FA"/>
    <w:rsid w:val="00496AE1"/>
    <w:rsid w:val="004A23A0"/>
    <w:rsid w:val="004A77CF"/>
    <w:rsid w:val="004B1608"/>
    <w:rsid w:val="004B4421"/>
    <w:rsid w:val="004B47DB"/>
    <w:rsid w:val="004B4A69"/>
    <w:rsid w:val="004B50EA"/>
    <w:rsid w:val="004C0DCE"/>
    <w:rsid w:val="004C3200"/>
    <w:rsid w:val="004C36CC"/>
    <w:rsid w:val="004C396D"/>
    <w:rsid w:val="004C4795"/>
    <w:rsid w:val="004C487B"/>
    <w:rsid w:val="004C6E71"/>
    <w:rsid w:val="004D0593"/>
    <w:rsid w:val="004D08F2"/>
    <w:rsid w:val="004D6E21"/>
    <w:rsid w:val="004E1445"/>
    <w:rsid w:val="004E5C9C"/>
    <w:rsid w:val="004E5FAE"/>
    <w:rsid w:val="004E65F2"/>
    <w:rsid w:val="004F1CA6"/>
    <w:rsid w:val="004F2352"/>
    <w:rsid w:val="004F23E4"/>
    <w:rsid w:val="004F3D57"/>
    <w:rsid w:val="00500143"/>
    <w:rsid w:val="00500336"/>
    <w:rsid w:val="0050064E"/>
    <w:rsid w:val="005006D0"/>
    <w:rsid w:val="0050156F"/>
    <w:rsid w:val="00501A4D"/>
    <w:rsid w:val="00510E66"/>
    <w:rsid w:val="0051278A"/>
    <w:rsid w:val="00515E8C"/>
    <w:rsid w:val="00517F1F"/>
    <w:rsid w:val="00520994"/>
    <w:rsid w:val="00523993"/>
    <w:rsid w:val="00523AE1"/>
    <w:rsid w:val="005245D7"/>
    <w:rsid w:val="00524E73"/>
    <w:rsid w:val="00527104"/>
    <w:rsid w:val="00530902"/>
    <w:rsid w:val="00530B25"/>
    <w:rsid w:val="00531D37"/>
    <w:rsid w:val="005351FF"/>
    <w:rsid w:val="00541512"/>
    <w:rsid w:val="00541C53"/>
    <w:rsid w:val="005508EF"/>
    <w:rsid w:val="00551436"/>
    <w:rsid w:val="00551628"/>
    <w:rsid w:val="00553627"/>
    <w:rsid w:val="00554ED6"/>
    <w:rsid w:val="00561389"/>
    <w:rsid w:val="00562422"/>
    <w:rsid w:val="00564902"/>
    <w:rsid w:val="00564DEE"/>
    <w:rsid w:val="00566BFC"/>
    <w:rsid w:val="00570F6E"/>
    <w:rsid w:val="00572AB5"/>
    <w:rsid w:val="0057441E"/>
    <w:rsid w:val="005752F7"/>
    <w:rsid w:val="00580ABD"/>
    <w:rsid w:val="00581493"/>
    <w:rsid w:val="005814A4"/>
    <w:rsid w:val="0058169E"/>
    <w:rsid w:val="0058508B"/>
    <w:rsid w:val="00590915"/>
    <w:rsid w:val="005A24FE"/>
    <w:rsid w:val="005A3B8F"/>
    <w:rsid w:val="005A3F5E"/>
    <w:rsid w:val="005A5D0D"/>
    <w:rsid w:val="005A67BA"/>
    <w:rsid w:val="005A6B84"/>
    <w:rsid w:val="005B43BD"/>
    <w:rsid w:val="005C5E28"/>
    <w:rsid w:val="005C7859"/>
    <w:rsid w:val="005C7AC5"/>
    <w:rsid w:val="005D1530"/>
    <w:rsid w:val="005D328E"/>
    <w:rsid w:val="005D6D05"/>
    <w:rsid w:val="005E1ACB"/>
    <w:rsid w:val="005E23FC"/>
    <w:rsid w:val="005E2E7A"/>
    <w:rsid w:val="005E3620"/>
    <w:rsid w:val="005E5CFF"/>
    <w:rsid w:val="005F281C"/>
    <w:rsid w:val="005F587C"/>
    <w:rsid w:val="005F6348"/>
    <w:rsid w:val="005F79D5"/>
    <w:rsid w:val="005F7C01"/>
    <w:rsid w:val="005F7FB7"/>
    <w:rsid w:val="00601657"/>
    <w:rsid w:val="00601BDB"/>
    <w:rsid w:val="006024A0"/>
    <w:rsid w:val="00602967"/>
    <w:rsid w:val="00603E07"/>
    <w:rsid w:val="00604D6E"/>
    <w:rsid w:val="00606F11"/>
    <w:rsid w:val="0061108E"/>
    <w:rsid w:val="006117BE"/>
    <w:rsid w:val="00611AF8"/>
    <w:rsid w:val="00614326"/>
    <w:rsid w:val="00616BC9"/>
    <w:rsid w:val="0061789C"/>
    <w:rsid w:val="00617D63"/>
    <w:rsid w:val="00622C16"/>
    <w:rsid w:val="00625E7D"/>
    <w:rsid w:val="00627E5A"/>
    <w:rsid w:val="00636044"/>
    <w:rsid w:val="006402D0"/>
    <w:rsid w:val="00644DB5"/>
    <w:rsid w:val="0064606E"/>
    <w:rsid w:val="006461D9"/>
    <w:rsid w:val="00653C98"/>
    <w:rsid w:val="006567A5"/>
    <w:rsid w:val="00666839"/>
    <w:rsid w:val="00671C2A"/>
    <w:rsid w:val="006726A8"/>
    <w:rsid w:val="006745F2"/>
    <w:rsid w:val="0067696B"/>
    <w:rsid w:val="0067752A"/>
    <w:rsid w:val="00680537"/>
    <w:rsid w:val="00680B81"/>
    <w:rsid w:val="00680FF0"/>
    <w:rsid w:val="00682503"/>
    <w:rsid w:val="006827E8"/>
    <w:rsid w:val="00685D3B"/>
    <w:rsid w:val="00686701"/>
    <w:rsid w:val="006907D6"/>
    <w:rsid w:val="00694232"/>
    <w:rsid w:val="00696C62"/>
    <w:rsid w:val="00697A7D"/>
    <w:rsid w:val="006A1755"/>
    <w:rsid w:val="006A1E38"/>
    <w:rsid w:val="006A3C69"/>
    <w:rsid w:val="006A64C3"/>
    <w:rsid w:val="006B5D78"/>
    <w:rsid w:val="006B68FC"/>
    <w:rsid w:val="006C6E2E"/>
    <w:rsid w:val="006C738F"/>
    <w:rsid w:val="006C7493"/>
    <w:rsid w:val="006D565A"/>
    <w:rsid w:val="006D6D9C"/>
    <w:rsid w:val="006E0EB2"/>
    <w:rsid w:val="006E21F7"/>
    <w:rsid w:val="006E228B"/>
    <w:rsid w:val="006E29AA"/>
    <w:rsid w:val="006E425B"/>
    <w:rsid w:val="006E50EE"/>
    <w:rsid w:val="006E6678"/>
    <w:rsid w:val="006E6AC5"/>
    <w:rsid w:val="006F0ED7"/>
    <w:rsid w:val="006F2800"/>
    <w:rsid w:val="006F41FA"/>
    <w:rsid w:val="006F7A52"/>
    <w:rsid w:val="00705E88"/>
    <w:rsid w:val="007061EB"/>
    <w:rsid w:val="00707E88"/>
    <w:rsid w:val="00711249"/>
    <w:rsid w:val="0071241B"/>
    <w:rsid w:val="00712CAA"/>
    <w:rsid w:val="00716A8B"/>
    <w:rsid w:val="007173E7"/>
    <w:rsid w:val="00717565"/>
    <w:rsid w:val="00717B65"/>
    <w:rsid w:val="00717D7C"/>
    <w:rsid w:val="00720F75"/>
    <w:rsid w:val="00721B75"/>
    <w:rsid w:val="00724EB1"/>
    <w:rsid w:val="007251D2"/>
    <w:rsid w:val="00725E9A"/>
    <w:rsid w:val="007262D2"/>
    <w:rsid w:val="007272B9"/>
    <w:rsid w:val="00730F76"/>
    <w:rsid w:val="00732C01"/>
    <w:rsid w:val="007423C4"/>
    <w:rsid w:val="00742FC4"/>
    <w:rsid w:val="00743227"/>
    <w:rsid w:val="00744A45"/>
    <w:rsid w:val="00745379"/>
    <w:rsid w:val="007507D7"/>
    <w:rsid w:val="007530E1"/>
    <w:rsid w:val="0075340F"/>
    <w:rsid w:val="00754C6D"/>
    <w:rsid w:val="00755096"/>
    <w:rsid w:val="00756053"/>
    <w:rsid w:val="007603B1"/>
    <w:rsid w:val="00762760"/>
    <w:rsid w:val="007642DD"/>
    <w:rsid w:val="0076710F"/>
    <w:rsid w:val="007703B4"/>
    <w:rsid w:val="00772680"/>
    <w:rsid w:val="00773504"/>
    <w:rsid w:val="0077369F"/>
    <w:rsid w:val="00776325"/>
    <w:rsid w:val="00777623"/>
    <w:rsid w:val="00783399"/>
    <w:rsid w:val="00787E97"/>
    <w:rsid w:val="00790CAB"/>
    <w:rsid w:val="00792F64"/>
    <w:rsid w:val="00793287"/>
    <w:rsid w:val="007941A3"/>
    <w:rsid w:val="00794A4E"/>
    <w:rsid w:val="00794AA4"/>
    <w:rsid w:val="007963E6"/>
    <w:rsid w:val="007A34A3"/>
    <w:rsid w:val="007A722D"/>
    <w:rsid w:val="007B0BA7"/>
    <w:rsid w:val="007B17C0"/>
    <w:rsid w:val="007B2E17"/>
    <w:rsid w:val="007C2954"/>
    <w:rsid w:val="007C3DF2"/>
    <w:rsid w:val="007C46D2"/>
    <w:rsid w:val="007C693B"/>
    <w:rsid w:val="007C7945"/>
    <w:rsid w:val="007D0585"/>
    <w:rsid w:val="007D0672"/>
    <w:rsid w:val="007D06F0"/>
    <w:rsid w:val="007D12FA"/>
    <w:rsid w:val="007D2072"/>
    <w:rsid w:val="007D4F70"/>
    <w:rsid w:val="007D500F"/>
    <w:rsid w:val="007D5DEE"/>
    <w:rsid w:val="007E3071"/>
    <w:rsid w:val="007E4F38"/>
    <w:rsid w:val="007E56D9"/>
    <w:rsid w:val="007E7CAB"/>
    <w:rsid w:val="007F3D12"/>
    <w:rsid w:val="007F5BED"/>
    <w:rsid w:val="007F5F31"/>
    <w:rsid w:val="007F7033"/>
    <w:rsid w:val="008022DE"/>
    <w:rsid w:val="00802FA6"/>
    <w:rsid w:val="00804B05"/>
    <w:rsid w:val="00805B47"/>
    <w:rsid w:val="00807AB0"/>
    <w:rsid w:val="00807C89"/>
    <w:rsid w:val="00813B57"/>
    <w:rsid w:val="00816227"/>
    <w:rsid w:val="00820ED5"/>
    <w:rsid w:val="008226CE"/>
    <w:rsid w:val="0082409C"/>
    <w:rsid w:val="008303FA"/>
    <w:rsid w:val="00830AB7"/>
    <w:rsid w:val="00832637"/>
    <w:rsid w:val="00837B12"/>
    <w:rsid w:val="00841282"/>
    <w:rsid w:val="008447A9"/>
    <w:rsid w:val="00844B88"/>
    <w:rsid w:val="00852771"/>
    <w:rsid w:val="008532A2"/>
    <w:rsid w:val="008538F0"/>
    <w:rsid w:val="008552A3"/>
    <w:rsid w:val="008572D8"/>
    <w:rsid w:val="00857EA0"/>
    <w:rsid w:val="00861522"/>
    <w:rsid w:val="008632F1"/>
    <w:rsid w:val="00863C39"/>
    <w:rsid w:val="00864E40"/>
    <w:rsid w:val="00871EDA"/>
    <w:rsid w:val="00880766"/>
    <w:rsid w:val="0088143E"/>
    <w:rsid w:val="00881B7D"/>
    <w:rsid w:val="00882652"/>
    <w:rsid w:val="008917D6"/>
    <w:rsid w:val="00895181"/>
    <w:rsid w:val="00897CA7"/>
    <w:rsid w:val="008A0942"/>
    <w:rsid w:val="008A0DE3"/>
    <w:rsid w:val="008A29FD"/>
    <w:rsid w:val="008A36A1"/>
    <w:rsid w:val="008A6553"/>
    <w:rsid w:val="008B056D"/>
    <w:rsid w:val="008B05DF"/>
    <w:rsid w:val="008B1226"/>
    <w:rsid w:val="008B27B6"/>
    <w:rsid w:val="008B3290"/>
    <w:rsid w:val="008B55AC"/>
    <w:rsid w:val="008B6FFE"/>
    <w:rsid w:val="008C4653"/>
    <w:rsid w:val="008C75D6"/>
    <w:rsid w:val="008D23A8"/>
    <w:rsid w:val="008D2FE2"/>
    <w:rsid w:val="008D494C"/>
    <w:rsid w:val="008D5CDB"/>
    <w:rsid w:val="008D5DFC"/>
    <w:rsid w:val="008E33E8"/>
    <w:rsid w:val="008E3F54"/>
    <w:rsid w:val="008E46B7"/>
    <w:rsid w:val="008E6A6A"/>
    <w:rsid w:val="008E7F3F"/>
    <w:rsid w:val="008F161F"/>
    <w:rsid w:val="008F16FD"/>
    <w:rsid w:val="008F1CA0"/>
    <w:rsid w:val="008F33BA"/>
    <w:rsid w:val="008F499A"/>
    <w:rsid w:val="008F6542"/>
    <w:rsid w:val="00901196"/>
    <w:rsid w:val="009037C5"/>
    <w:rsid w:val="0090612F"/>
    <w:rsid w:val="00911156"/>
    <w:rsid w:val="00911AD4"/>
    <w:rsid w:val="00914902"/>
    <w:rsid w:val="0091565B"/>
    <w:rsid w:val="00915FA7"/>
    <w:rsid w:val="00917386"/>
    <w:rsid w:val="009206A5"/>
    <w:rsid w:val="009244F9"/>
    <w:rsid w:val="00926912"/>
    <w:rsid w:val="009324AB"/>
    <w:rsid w:val="00933430"/>
    <w:rsid w:val="0093398E"/>
    <w:rsid w:val="00940155"/>
    <w:rsid w:val="009436BB"/>
    <w:rsid w:val="0094488B"/>
    <w:rsid w:val="00945C46"/>
    <w:rsid w:val="00946FA6"/>
    <w:rsid w:val="00951301"/>
    <w:rsid w:val="0095194C"/>
    <w:rsid w:val="0096240C"/>
    <w:rsid w:val="00962D54"/>
    <w:rsid w:val="009673F1"/>
    <w:rsid w:val="00976AD0"/>
    <w:rsid w:val="0097702E"/>
    <w:rsid w:val="00981A35"/>
    <w:rsid w:val="009820AE"/>
    <w:rsid w:val="00984018"/>
    <w:rsid w:val="009844AD"/>
    <w:rsid w:val="009907C5"/>
    <w:rsid w:val="00991528"/>
    <w:rsid w:val="009968DE"/>
    <w:rsid w:val="009A1BEF"/>
    <w:rsid w:val="009A1D1B"/>
    <w:rsid w:val="009A5430"/>
    <w:rsid w:val="009A5FB9"/>
    <w:rsid w:val="009B67B9"/>
    <w:rsid w:val="009B695C"/>
    <w:rsid w:val="009B7638"/>
    <w:rsid w:val="009C0464"/>
    <w:rsid w:val="009C15C4"/>
    <w:rsid w:val="009C1616"/>
    <w:rsid w:val="009C3089"/>
    <w:rsid w:val="009C5AC2"/>
    <w:rsid w:val="009C5CD7"/>
    <w:rsid w:val="009C70BA"/>
    <w:rsid w:val="009C7250"/>
    <w:rsid w:val="009C7DCD"/>
    <w:rsid w:val="009D0058"/>
    <w:rsid w:val="009D2CC7"/>
    <w:rsid w:val="009D37F5"/>
    <w:rsid w:val="009D39D5"/>
    <w:rsid w:val="009D45EB"/>
    <w:rsid w:val="009D7613"/>
    <w:rsid w:val="009E0DA4"/>
    <w:rsid w:val="009E17BC"/>
    <w:rsid w:val="009E1E39"/>
    <w:rsid w:val="009E3631"/>
    <w:rsid w:val="009E3F13"/>
    <w:rsid w:val="009E5235"/>
    <w:rsid w:val="009E6B81"/>
    <w:rsid w:val="009F32CC"/>
    <w:rsid w:val="009F53F9"/>
    <w:rsid w:val="009F5D1E"/>
    <w:rsid w:val="009F6D09"/>
    <w:rsid w:val="00A004A8"/>
    <w:rsid w:val="00A03425"/>
    <w:rsid w:val="00A04D4F"/>
    <w:rsid w:val="00A05391"/>
    <w:rsid w:val="00A05D00"/>
    <w:rsid w:val="00A06FE2"/>
    <w:rsid w:val="00A20ACF"/>
    <w:rsid w:val="00A21631"/>
    <w:rsid w:val="00A22AC5"/>
    <w:rsid w:val="00A23535"/>
    <w:rsid w:val="00A265E1"/>
    <w:rsid w:val="00A31697"/>
    <w:rsid w:val="00A317A9"/>
    <w:rsid w:val="00A31E4B"/>
    <w:rsid w:val="00A32910"/>
    <w:rsid w:val="00A36FEA"/>
    <w:rsid w:val="00A41149"/>
    <w:rsid w:val="00A41E80"/>
    <w:rsid w:val="00A42740"/>
    <w:rsid w:val="00A42F9B"/>
    <w:rsid w:val="00A43468"/>
    <w:rsid w:val="00A4508B"/>
    <w:rsid w:val="00A47258"/>
    <w:rsid w:val="00A54D9F"/>
    <w:rsid w:val="00A56D57"/>
    <w:rsid w:val="00A60D85"/>
    <w:rsid w:val="00A638A5"/>
    <w:rsid w:val="00A64108"/>
    <w:rsid w:val="00A65654"/>
    <w:rsid w:val="00A672B2"/>
    <w:rsid w:val="00A71400"/>
    <w:rsid w:val="00A7394D"/>
    <w:rsid w:val="00A7491A"/>
    <w:rsid w:val="00A76A58"/>
    <w:rsid w:val="00A76BDA"/>
    <w:rsid w:val="00A7708D"/>
    <w:rsid w:val="00A77234"/>
    <w:rsid w:val="00A77C81"/>
    <w:rsid w:val="00A80008"/>
    <w:rsid w:val="00A81018"/>
    <w:rsid w:val="00A82D36"/>
    <w:rsid w:val="00A82E9D"/>
    <w:rsid w:val="00A877E0"/>
    <w:rsid w:val="00A90DED"/>
    <w:rsid w:val="00A91815"/>
    <w:rsid w:val="00A918ED"/>
    <w:rsid w:val="00A92825"/>
    <w:rsid w:val="00A92FF2"/>
    <w:rsid w:val="00A931C3"/>
    <w:rsid w:val="00AA005E"/>
    <w:rsid w:val="00AA1F95"/>
    <w:rsid w:val="00AA5A19"/>
    <w:rsid w:val="00AA6A70"/>
    <w:rsid w:val="00AB0F97"/>
    <w:rsid w:val="00AB5B9C"/>
    <w:rsid w:val="00AB6AB9"/>
    <w:rsid w:val="00AB6C53"/>
    <w:rsid w:val="00AC11B7"/>
    <w:rsid w:val="00AC186E"/>
    <w:rsid w:val="00AC2247"/>
    <w:rsid w:val="00AC24BF"/>
    <w:rsid w:val="00AC7007"/>
    <w:rsid w:val="00AD146B"/>
    <w:rsid w:val="00AD14E4"/>
    <w:rsid w:val="00AD1845"/>
    <w:rsid w:val="00AD18EB"/>
    <w:rsid w:val="00AD2BB2"/>
    <w:rsid w:val="00AD2C46"/>
    <w:rsid w:val="00AD4411"/>
    <w:rsid w:val="00AD78F1"/>
    <w:rsid w:val="00AE41E2"/>
    <w:rsid w:val="00AE6DB7"/>
    <w:rsid w:val="00AE7815"/>
    <w:rsid w:val="00AE7B3F"/>
    <w:rsid w:val="00AF79EA"/>
    <w:rsid w:val="00B04948"/>
    <w:rsid w:val="00B1132B"/>
    <w:rsid w:val="00B11670"/>
    <w:rsid w:val="00B130B2"/>
    <w:rsid w:val="00B137F9"/>
    <w:rsid w:val="00B15A4D"/>
    <w:rsid w:val="00B16715"/>
    <w:rsid w:val="00B16B4A"/>
    <w:rsid w:val="00B16D95"/>
    <w:rsid w:val="00B20316"/>
    <w:rsid w:val="00B208B6"/>
    <w:rsid w:val="00B267D9"/>
    <w:rsid w:val="00B277F9"/>
    <w:rsid w:val="00B3170D"/>
    <w:rsid w:val="00B32C60"/>
    <w:rsid w:val="00B34E3C"/>
    <w:rsid w:val="00B35B30"/>
    <w:rsid w:val="00B42FAE"/>
    <w:rsid w:val="00B442F1"/>
    <w:rsid w:val="00B53BA4"/>
    <w:rsid w:val="00B569CC"/>
    <w:rsid w:val="00B579BD"/>
    <w:rsid w:val="00B62597"/>
    <w:rsid w:val="00B7003F"/>
    <w:rsid w:val="00B71043"/>
    <w:rsid w:val="00B80F5E"/>
    <w:rsid w:val="00B835F6"/>
    <w:rsid w:val="00B84361"/>
    <w:rsid w:val="00B8436D"/>
    <w:rsid w:val="00B84F62"/>
    <w:rsid w:val="00B86B77"/>
    <w:rsid w:val="00B91264"/>
    <w:rsid w:val="00B91E72"/>
    <w:rsid w:val="00B9254E"/>
    <w:rsid w:val="00B97349"/>
    <w:rsid w:val="00BA1FC0"/>
    <w:rsid w:val="00BA2071"/>
    <w:rsid w:val="00BA6146"/>
    <w:rsid w:val="00BA7FA7"/>
    <w:rsid w:val="00BB213B"/>
    <w:rsid w:val="00BB531B"/>
    <w:rsid w:val="00BB6921"/>
    <w:rsid w:val="00BB6FF3"/>
    <w:rsid w:val="00BC1CD3"/>
    <w:rsid w:val="00BC5AE2"/>
    <w:rsid w:val="00BD5820"/>
    <w:rsid w:val="00BE255C"/>
    <w:rsid w:val="00BE256E"/>
    <w:rsid w:val="00BE3D5F"/>
    <w:rsid w:val="00BE4C2B"/>
    <w:rsid w:val="00BE79F6"/>
    <w:rsid w:val="00BF331B"/>
    <w:rsid w:val="00BF4AC1"/>
    <w:rsid w:val="00BF6767"/>
    <w:rsid w:val="00C03CF5"/>
    <w:rsid w:val="00C05997"/>
    <w:rsid w:val="00C064FE"/>
    <w:rsid w:val="00C06800"/>
    <w:rsid w:val="00C10A93"/>
    <w:rsid w:val="00C10CCF"/>
    <w:rsid w:val="00C11F0A"/>
    <w:rsid w:val="00C14BF4"/>
    <w:rsid w:val="00C160AF"/>
    <w:rsid w:val="00C16911"/>
    <w:rsid w:val="00C17744"/>
    <w:rsid w:val="00C21444"/>
    <w:rsid w:val="00C21B6B"/>
    <w:rsid w:val="00C22988"/>
    <w:rsid w:val="00C268E9"/>
    <w:rsid w:val="00C26C28"/>
    <w:rsid w:val="00C271D0"/>
    <w:rsid w:val="00C30ECA"/>
    <w:rsid w:val="00C31DF8"/>
    <w:rsid w:val="00C35829"/>
    <w:rsid w:val="00C36731"/>
    <w:rsid w:val="00C36E16"/>
    <w:rsid w:val="00C4034F"/>
    <w:rsid w:val="00C439EC"/>
    <w:rsid w:val="00C46F4A"/>
    <w:rsid w:val="00C476D1"/>
    <w:rsid w:val="00C5307B"/>
    <w:rsid w:val="00C60669"/>
    <w:rsid w:val="00C646B1"/>
    <w:rsid w:val="00C64777"/>
    <w:rsid w:val="00C710A8"/>
    <w:rsid w:val="00C72073"/>
    <w:rsid w:val="00C72168"/>
    <w:rsid w:val="00C7474F"/>
    <w:rsid w:val="00C74E1A"/>
    <w:rsid w:val="00C75334"/>
    <w:rsid w:val="00C757F4"/>
    <w:rsid w:val="00C759B4"/>
    <w:rsid w:val="00C75A9D"/>
    <w:rsid w:val="00C77B1D"/>
    <w:rsid w:val="00C81100"/>
    <w:rsid w:val="00C81F13"/>
    <w:rsid w:val="00C82D08"/>
    <w:rsid w:val="00C84969"/>
    <w:rsid w:val="00C8623F"/>
    <w:rsid w:val="00C86A82"/>
    <w:rsid w:val="00C8755F"/>
    <w:rsid w:val="00C8772B"/>
    <w:rsid w:val="00C93955"/>
    <w:rsid w:val="00C95F4C"/>
    <w:rsid w:val="00C97B37"/>
    <w:rsid w:val="00CA0006"/>
    <w:rsid w:val="00CA0A6E"/>
    <w:rsid w:val="00CA0E1E"/>
    <w:rsid w:val="00CA19B9"/>
    <w:rsid w:val="00CA20E8"/>
    <w:rsid w:val="00CA3BE4"/>
    <w:rsid w:val="00CA49B9"/>
    <w:rsid w:val="00CA4A88"/>
    <w:rsid w:val="00CA7049"/>
    <w:rsid w:val="00CB19DE"/>
    <w:rsid w:val="00CB32D9"/>
    <w:rsid w:val="00CB3E60"/>
    <w:rsid w:val="00CB475B"/>
    <w:rsid w:val="00CC0781"/>
    <w:rsid w:val="00CC1B47"/>
    <w:rsid w:val="00CC3968"/>
    <w:rsid w:val="00CC59C3"/>
    <w:rsid w:val="00CD04BF"/>
    <w:rsid w:val="00CD1E89"/>
    <w:rsid w:val="00CD28FE"/>
    <w:rsid w:val="00CD7DEB"/>
    <w:rsid w:val="00CE0712"/>
    <w:rsid w:val="00CE44E5"/>
    <w:rsid w:val="00CE451E"/>
    <w:rsid w:val="00CE4AA3"/>
    <w:rsid w:val="00CE79AC"/>
    <w:rsid w:val="00CF5FB1"/>
    <w:rsid w:val="00CF7CBB"/>
    <w:rsid w:val="00D00233"/>
    <w:rsid w:val="00D01D34"/>
    <w:rsid w:val="00D03A69"/>
    <w:rsid w:val="00D06273"/>
    <w:rsid w:val="00D06EC8"/>
    <w:rsid w:val="00D07247"/>
    <w:rsid w:val="00D07AC6"/>
    <w:rsid w:val="00D07E32"/>
    <w:rsid w:val="00D136EA"/>
    <w:rsid w:val="00D144C9"/>
    <w:rsid w:val="00D15647"/>
    <w:rsid w:val="00D1614C"/>
    <w:rsid w:val="00D1621F"/>
    <w:rsid w:val="00D16694"/>
    <w:rsid w:val="00D16A70"/>
    <w:rsid w:val="00D16C7B"/>
    <w:rsid w:val="00D204C5"/>
    <w:rsid w:val="00D23BC7"/>
    <w:rsid w:val="00D245B0"/>
    <w:rsid w:val="00D251ED"/>
    <w:rsid w:val="00D26E84"/>
    <w:rsid w:val="00D27A56"/>
    <w:rsid w:val="00D30D8B"/>
    <w:rsid w:val="00D31516"/>
    <w:rsid w:val="00D32597"/>
    <w:rsid w:val="00D3539B"/>
    <w:rsid w:val="00D36F4F"/>
    <w:rsid w:val="00D3760A"/>
    <w:rsid w:val="00D44954"/>
    <w:rsid w:val="00D477E1"/>
    <w:rsid w:val="00D517DD"/>
    <w:rsid w:val="00D52567"/>
    <w:rsid w:val="00D55056"/>
    <w:rsid w:val="00D67212"/>
    <w:rsid w:val="00D71B17"/>
    <w:rsid w:val="00D75436"/>
    <w:rsid w:val="00D777CA"/>
    <w:rsid w:val="00D7788D"/>
    <w:rsid w:val="00D77B20"/>
    <w:rsid w:val="00D77B50"/>
    <w:rsid w:val="00D810F8"/>
    <w:rsid w:val="00D827A6"/>
    <w:rsid w:val="00D82F38"/>
    <w:rsid w:val="00D831E4"/>
    <w:rsid w:val="00D852D2"/>
    <w:rsid w:val="00D8532C"/>
    <w:rsid w:val="00D85416"/>
    <w:rsid w:val="00D87907"/>
    <w:rsid w:val="00D902B7"/>
    <w:rsid w:val="00D95949"/>
    <w:rsid w:val="00D965E1"/>
    <w:rsid w:val="00DA1622"/>
    <w:rsid w:val="00DA23DE"/>
    <w:rsid w:val="00DA6B16"/>
    <w:rsid w:val="00DB12D1"/>
    <w:rsid w:val="00DB29E9"/>
    <w:rsid w:val="00DB34B1"/>
    <w:rsid w:val="00DB5150"/>
    <w:rsid w:val="00DB53E7"/>
    <w:rsid w:val="00DB61C7"/>
    <w:rsid w:val="00DB6788"/>
    <w:rsid w:val="00DC23D1"/>
    <w:rsid w:val="00DC5E3F"/>
    <w:rsid w:val="00DD0398"/>
    <w:rsid w:val="00DD07C5"/>
    <w:rsid w:val="00DD1B8F"/>
    <w:rsid w:val="00DD4A4B"/>
    <w:rsid w:val="00DD52F9"/>
    <w:rsid w:val="00DD6DF5"/>
    <w:rsid w:val="00DD7E67"/>
    <w:rsid w:val="00DE098A"/>
    <w:rsid w:val="00DE1D55"/>
    <w:rsid w:val="00DE2562"/>
    <w:rsid w:val="00DE34CF"/>
    <w:rsid w:val="00DE3C56"/>
    <w:rsid w:val="00DE501B"/>
    <w:rsid w:val="00DE66BD"/>
    <w:rsid w:val="00DE722F"/>
    <w:rsid w:val="00DE77B9"/>
    <w:rsid w:val="00DF0AEC"/>
    <w:rsid w:val="00DF1112"/>
    <w:rsid w:val="00DF2C7B"/>
    <w:rsid w:val="00E000EB"/>
    <w:rsid w:val="00E00EAA"/>
    <w:rsid w:val="00E01E4B"/>
    <w:rsid w:val="00E04DB0"/>
    <w:rsid w:val="00E05815"/>
    <w:rsid w:val="00E11C66"/>
    <w:rsid w:val="00E12186"/>
    <w:rsid w:val="00E1605D"/>
    <w:rsid w:val="00E17BA3"/>
    <w:rsid w:val="00E26839"/>
    <w:rsid w:val="00E3016E"/>
    <w:rsid w:val="00E311D7"/>
    <w:rsid w:val="00E31E9A"/>
    <w:rsid w:val="00E31F75"/>
    <w:rsid w:val="00E32B6B"/>
    <w:rsid w:val="00E33B8A"/>
    <w:rsid w:val="00E3695C"/>
    <w:rsid w:val="00E40B77"/>
    <w:rsid w:val="00E46769"/>
    <w:rsid w:val="00E52766"/>
    <w:rsid w:val="00E5387A"/>
    <w:rsid w:val="00E55E84"/>
    <w:rsid w:val="00E56D8D"/>
    <w:rsid w:val="00E637D1"/>
    <w:rsid w:val="00E642F7"/>
    <w:rsid w:val="00E654F2"/>
    <w:rsid w:val="00E660D6"/>
    <w:rsid w:val="00E72E40"/>
    <w:rsid w:val="00E732D2"/>
    <w:rsid w:val="00E74F4A"/>
    <w:rsid w:val="00E7589B"/>
    <w:rsid w:val="00E8150C"/>
    <w:rsid w:val="00E82436"/>
    <w:rsid w:val="00E83721"/>
    <w:rsid w:val="00E83E63"/>
    <w:rsid w:val="00E85808"/>
    <w:rsid w:val="00E85FB2"/>
    <w:rsid w:val="00E87C04"/>
    <w:rsid w:val="00E87CCA"/>
    <w:rsid w:val="00E9077C"/>
    <w:rsid w:val="00E919E2"/>
    <w:rsid w:val="00E9315C"/>
    <w:rsid w:val="00E94D03"/>
    <w:rsid w:val="00E94E2D"/>
    <w:rsid w:val="00E96C0A"/>
    <w:rsid w:val="00EA05B9"/>
    <w:rsid w:val="00EA4AD8"/>
    <w:rsid w:val="00EA6EAD"/>
    <w:rsid w:val="00EB27AA"/>
    <w:rsid w:val="00EB5AA7"/>
    <w:rsid w:val="00EB68B0"/>
    <w:rsid w:val="00EC1C56"/>
    <w:rsid w:val="00EC2303"/>
    <w:rsid w:val="00EC6A5E"/>
    <w:rsid w:val="00EC7EA4"/>
    <w:rsid w:val="00EC7F5E"/>
    <w:rsid w:val="00ED1466"/>
    <w:rsid w:val="00ED2047"/>
    <w:rsid w:val="00ED3033"/>
    <w:rsid w:val="00ED367E"/>
    <w:rsid w:val="00ED4242"/>
    <w:rsid w:val="00EE0307"/>
    <w:rsid w:val="00EE1BED"/>
    <w:rsid w:val="00EE58E6"/>
    <w:rsid w:val="00EE7789"/>
    <w:rsid w:val="00EF2AA0"/>
    <w:rsid w:val="00EF328E"/>
    <w:rsid w:val="00EF67D9"/>
    <w:rsid w:val="00F031A3"/>
    <w:rsid w:val="00F033DE"/>
    <w:rsid w:val="00F0521D"/>
    <w:rsid w:val="00F05E13"/>
    <w:rsid w:val="00F06138"/>
    <w:rsid w:val="00F1480D"/>
    <w:rsid w:val="00F15A5F"/>
    <w:rsid w:val="00F15DA0"/>
    <w:rsid w:val="00F16664"/>
    <w:rsid w:val="00F20105"/>
    <w:rsid w:val="00F21727"/>
    <w:rsid w:val="00F22044"/>
    <w:rsid w:val="00F270C1"/>
    <w:rsid w:val="00F2779F"/>
    <w:rsid w:val="00F27D97"/>
    <w:rsid w:val="00F355A1"/>
    <w:rsid w:val="00F4190F"/>
    <w:rsid w:val="00F42399"/>
    <w:rsid w:val="00F42DF0"/>
    <w:rsid w:val="00F45D32"/>
    <w:rsid w:val="00F4749E"/>
    <w:rsid w:val="00F47890"/>
    <w:rsid w:val="00F47AF7"/>
    <w:rsid w:val="00F47CA9"/>
    <w:rsid w:val="00F5077C"/>
    <w:rsid w:val="00F51ABC"/>
    <w:rsid w:val="00F6188F"/>
    <w:rsid w:val="00F63918"/>
    <w:rsid w:val="00F70498"/>
    <w:rsid w:val="00F7148D"/>
    <w:rsid w:val="00F74D87"/>
    <w:rsid w:val="00F752F1"/>
    <w:rsid w:val="00F75E68"/>
    <w:rsid w:val="00F76616"/>
    <w:rsid w:val="00F80BA3"/>
    <w:rsid w:val="00F82B0F"/>
    <w:rsid w:val="00F83D43"/>
    <w:rsid w:val="00F928AE"/>
    <w:rsid w:val="00F93637"/>
    <w:rsid w:val="00F936DC"/>
    <w:rsid w:val="00F956A0"/>
    <w:rsid w:val="00FA0F53"/>
    <w:rsid w:val="00FA5955"/>
    <w:rsid w:val="00FA727D"/>
    <w:rsid w:val="00FB1470"/>
    <w:rsid w:val="00FB1739"/>
    <w:rsid w:val="00FB25DD"/>
    <w:rsid w:val="00FB2CA4"/>
    <w:rsid w:val="00FB3C31"/>
    <w:rsid w:val="00FB64A8"/>
    <w:rsid w:val="00FB6E6F"/>
    <w:rsid w:val="00FB72E0"/>
    <w:rsid w:val="00FC09D2"/>
    <w:rsid w:val="00FC0A3E"/>
    <w:rsid w:val="00FC1445"/>
    <w:rsid w:val="00FC2B9A"/>
    <w:rsid w:val="00FC34C2"/>
    <w:rsid w:val="00FC42FD"/>
    <w:rsid w:val="00FC4550"/>
    <w:rsid w:val="00FC602B"/>
    <w:rsid w:val="00FD133E"/>
    <w:rsid w:val="00FD2E6A"/>
    <w:rsid w:val="00FD55AC"/>
    <w:rsid w:val="00FD68F1"/>
    <w:rsid w:val="00FE06FF"/>
    <w:rsid w:val="00FE2DD6"/>
    <w:rsid w:val="00FE3B49"/>
    <w:rsid w:val="00FE3E40"/>
    <w:rsid w:val="00FF01E6"/>
    <w:rsid w:val="00FF06D9"/>
    <w:rsid w:val="00FF0BFF"/>
    <w:rsid w:val="00FF1817"/>
    <w:rsid w:val="00FF242F"/>
    <w:rsid w:val="00FF3821"/>
    <w:rsid w:val="00FF5299"/>
    <w:rsid w:val="00FF6114"/>
    <w:rsid w:val="00FF63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7D13DC"/>
  <w15:docId w15:val="{2BDD950A-B098-485F-85DC-CCEC186D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link w:val="Heading2Char"/>
    <w:uiPriority w:val="9"/>
    <w:qFormat/>
    <w:rsid w:val="00093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D18EB"/>
    <w:pPr>
      <w:keepNext/>
      <w:keepLines/>
      <w:spacing w:before="40" w:after="0"/>
      <w:outlineLvl w:val="2"/>
    </w:pPr>
    <w:rPr>
      <w:rFonts w:asciiTheme="majorHAnsi" w:eastAsiaTheme="majorEastAsia" w:hAnsiTheme="majorHAnsi" w:cstheme="majorBidi"/>
      <w:color w:val="001932" w:themeColor="accent1" w:themeShade="7F"/>
      <w:sz w:val="24"/>
      <w:szCs w:val="24"/>
    </w:rPr>
  </w:style>
  <w:style w:type="paragraph" w:styleId="Heading4">
    <w:name w:val="heading 4"/>
    <w:basedOn w:val="Normal"/>
    <w:next w:val="Normal"/>
    <w:link w:val="Heading4Char"/>
    <w:uiPriority w:val="9"/>
    <w:semiHidden/>
    <w:unhideWhenUsed/>
    <w:qFormat/>
    <w:rsid w:val="003D6950"/>
    <w:pPr>
      <w:keepNext/>
      <w:keepLines/>
      <w:spacing w:before="40" w:after="0"/>
      <w:outlineLvl w:val="3"/>
    </w:pPr>
    <w:rPr>
      <w:rFonts w:asciiTheme="majorHAnsi" w:eastAsiaTheme="majorEastAsia" w:hAnsiTheme="majorHAnsi" w:cstheme="majorBidi"/>
      <w:i/>
      <w:iCs/>
      <w:color w:val="00264C" w:themeColor="accent1" w:themeShade="BF"/>
    </w:rPr>
  </w:style>
  <w:style w:type="paragraph" w:styleId="Heading5">
    <w:name w:val="heading 5"/>
    <w:basedOn w:val="Normal"/>
    <w:next w:val="Normal"/>
    <w:link w:val="Heading5Char"/>
    <w:uiPriority w:val="9"/>
    <w:semiHidden/>
    <w:unhideWhenUsed/>
    <w:qFormat/>
    <w:rsid w:val="00474FB1"/>
    <w:pPr>
      <w:keepNext/>
      <w:keepLines/>
      <w:spacing w:before="40" w:after="0"/>
      <w:outlineLvl w:val="4"/>
    </w:pPr>
    <w:rPr>
      <w:rFonts w:asciiTheme="majorHAnsi" w:eastAsiaTheme="majorEastAsia" w:hAnsiTheme="majorHAnsi" w:cstheme="majorBidi"/>
      <w:color w:val="00264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7530E1"/>
    <w:rPr>
      <w:sz w:val="16"/>
      <w:szCs w:val="16"/>
    </w:rPr>
  </w:style>
  <w:style w:type="paragraph" w:styleId="CommentText">
    <w:name w:val="annotation text"/>
    <w:basedOn w:val="Normal"/>
    <w:link w:val="CommentTextChar"/>
    <w:uiPriority w:val="99"/>
    <w:unhideWhenUsed/>
    <w:rsid w:val="007530E1"/>
    <w:pPr>
      <w:spacing w:line="240" w:lineRule="auto"/>
    </w:pPr>
    <w:rPr>
      <w:sz w:val="20"/>
      <w:szCs w:val="20"/>
    </w:rPr>
  </w:style>
  <w:style w:type="character" w:customStyle="1" w:styleId="CommentTextChar">
    <w:name w:val="Comment Text Char"/>
    <w:basedOn w:val="DefaultParagraphFont"/>
    <w:link w:val="CommentText"/>
    <w:uiPriority w:val="99"/>
    <w:rsid w:val="007530E1"/>
    <w:rPr>
      <w:sz w:val="20"/>
      <w:szCs w:val="20"/>
    </w:rPr>
  </w:style>
  <w:style w:type="paragraph" w:styleId="CommentSubject">
    <w:name w:val="annotation subject"/>
    <w:basedOn w:val="CommentText"/>
    <w:next w:val="CommentText"/>
    <w:link w:val="CommentSubjectChar"/>
    <w:uiPriority w:val="99"/>
    <w:semiHidden/>
    <w:unhideWhenUsed/>
    <w:rsid w:val="007530E1"/>
    <w:rPr>
      <w:b/>
      <w:bCs/>
    </w:rPr>
  </w:style>
  <w:style w:type="character" w:customStyle="1" w:styleId="CommentSubjectChar">
    <w:name w:val="Comment Subject Char"/>
    <w:basedOn w:val="CommentTextChar"/>
    <w:link w:val="CommentSubject"/>
    <w:uiPriority w:val="99"/>
    <w:semiHidden/>
    <w:rsid w:val="007530E1"/>
    <w:rPr>
      <w:b/>
      <w:bCs/>
      <w:sz w:val="20"/>
      <w:szCs w:val="20"/>
    </w:rPr>
  </w:style>
  <w:style w:type="character" w:customStyle="1" w:styleId="Heading2Char">
    <w:name w:val="Heading 2 Char"/>
    <w:basedOn w:val="DefaultParagraphFont"/>
    <w:link w:val="Heading2"/>
    <w:uiPriority w:val="9"/>
    <w:rsid w:val="0009340B"/>
    <w:rPr>
      <w:rFonts w:ascii="Times New Roman" w:eastAsia="Times New Roman" w:hAnsi="Times New Roman" w:cs="Times New Roman"/>
      <w:b/>
      <w:bCs/>
      <w:sz w:val="36"/>
      <w:szCs w:val="36"/>
    </w:rPr>
  </w:style>
  <w:style w:type="paragraph" w:customStyle="1" w:styleId="Default">
    <w:name w:val="Default"/>
    <w:rsid w:val="00DD7E67"/>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D67212"/>
  </w:style>
  <w:style w:type="paragraph" w:styleId="ListParagraph">
    <w:name w:val="List Paragraph"/>
    <w:basedOn w:val="Normal"/>
    <w:uiPriority w:val="34"/>
    <w:qFormat/>
    <w:rsid w:val="00166DA3"/>
    <w:pPr>
      <w:spacing w:after="160" w:line="259" w:lineRule="auto"/>
      <w:ind w:left="720"/>
      <w:contextualSpacing/>
    </w:pPr>
  </w:style>
  <w:style w:type="paragraph" w:customStyle="1" w:styleId="secondaryheading-numbered0">
    <w:name w:val="secondaryheading-numbered"/>
    <w:basedOn w:val="Normal"/>
    <w:rsid w:val="007E56D9"/>
    <w:pPr>
      <w:spacing w:line="240" w:lineRule="auto"/>
      <w:ind w:left="360" w:hanging="360"/>
    </w:pPr>
    <w:rPr>
      <w:rFonts w:ascii="Arial Narrow" w:hAnsi="Arial Narrow" w:cs="Times New Roman"/>
      <w:sz w:val="24"/>
      <w:szCs w:val="24"/>
    </w:rPr>
  </w:style>
  <w:style w:type="paragraph" w:styleId="Revision">
    <w:name w:val="Revision"/>
    <w:hidden/>
    <w:uiPriority w:val="99"/>
    <w:semiHidden/>
    <w:rsid w:val="007B2E17"/>
    <w:pPr>
      <w:spacing w:after="0" w:line="240" w:lineRule="auto"/>
    </w:pPr>
  </w:style>
  <w:style w:type="character" w:styleId="UnresolvedMention">
    <w:name w:val="Unresolved Mention"/>
    <w:basedOn w:val="DefaultParagraphFont"/>
    <w:uiPriority w:val="99"/>
    <w:semiHidden/>
    <w:unhideWhenUsed/>
    <w:rsid w:val="00240153"/>
    <w:rPr>
      <w:color w:val="605E5C"/>
      <w:shd w:val="clear" w:color="auto" w:fill="E1DFDD"/>
    </w:rPr>
  </w:style>
  <w:style w:type="character" w:customStyle="1" w:styleId="Heading3Char">
    <w:name w:val="Heading 3 Char"/>
    <w:basedOn w:val="DefaultParagraphFont"/>
    <w:link w:val="Heading3"/>
    <w:uiPriority w:val="9"/>
    <w:semiHidden/>
    <w:rsid w:val="00AD18EB"/>
    <w:rPr>
      <w:rFonts w:asciiTheme="majorHAnsi" w:eastAsiaTheme="majorEastAsia" w:hAnsiTheme="majorHAnsi" w:cstheme="majorBidi"/>
      <w:color w:val="001932" w:themeColor="accent1" w:themeShade="7F"/>
      <w:sz w:val="24"/>
      <w:szCs w:val="24"/>
    </w:rPr>
  </w:style>
  <w:style w:type="paragraph" w:customStyle="1" w:styleId="SectionHeading">
    <w:name w:val="Section Heading"/>
    <w:basedOn w:val="Normal"/>
    <w:qFormat/>
    <w:rsid w:val="00AD18EB"/>
    <w:pPr>
      <w:autoSpaceDE w:val="0"/>
      <w:autoSpaceDN w:val="0"/>
      <w:adjustRightInd w:val="0"/>
    </w:pPr>
    <w:rPr>
      <w:rFonts w:ascii="Arial Narrow" w:eastAsia="Times New Roman" w:hAnsi="Arial Narrow" w:cs="Arial"/>
      <w:b/>
      <w:bCs/>
      <w:color w:val="000000"/>
      <w:szCs w:val="24"/>
      <w:lang w:bidi="en-US"/>
    </w:rPr>
  </w:style>
  <w:style w:type="character" w:customStyle="1" w:styleId="Heading5Char">
    <w:name w:val="Heading 5 Char"/>
    <w:basedOn w:val="DefaultParagraphFont"/>
    <w:link w:val="Heading5"/>
    <w:uiPriority w:val="9"/>
    <w:semiHidden/>
    <w:rsid w:val="00474FB1"/>
    <w:rPr>
      <w:rFonts w:asciiTheme="majorHAnsi" w:eastAsiaTheme="majorEastAsia" w:hAnsiTheme="majorHAnsi" w:cstheme="majorBidi"/>
      <w:color w:val="00264C" w:themeColor="accent1" w:themeShade="BF"/>
    </w:rPr>
  </w:style>
  <w:style w:type="character" w:customStyle="1" w:styleId="Heading4Char">
    <w:name w:val="Heading 4 Char"/>
    <w:basedOn w:val="DefaultParagraphFont"/>
    <w:link w:val="Heading4"/>
    <w:uiPriority w:val="9"/>
    <w:semiHidden/>
    <w:rsid w:val="003D6950"/>
    <w:rPr>
      <w:rFonts w:asciiTheme="majorHAnsi" w:eastAsiaTheme="majorEastAsia" w:hAnsiTheme="majorHAnsi" w:cstheme="majorBidi"/>
      <w:i/>
      <w:iCs/>
      <w:color w:val="00264C"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about-pjm/who-we-are/code-of-conduct" TargetMode="Externa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hyperlink" Target="https://www.pjm.com/committees-and-groups/committees/form-facilitator-feedback.aspx" TargetMode="External" /><Relationship Id="rId14" Type="http://schemas.openxmlformats.org/officeDocument/2006/relationships/hyperlink" Target="https://learn.pjm.com/"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d3fc15a8-6735-4808-b83e-a5002724476b" TargetMode="External" /><Relationship Id="rId6" Type="http://schemas.openxmlformats.org/officeDocument/2006/relationships/hyperlink" Target="https://www.pjm.com/committees-and-groups/issue-tracking/issue-tracking-details.aspx?Issue=2e32710d-634b-4925-84bf-1f56a33c7e05" TargetMode="External" /><Relationship Id="rId7" Type="http://schemas.openxmlformats.org/officeDocument/2006/relationships/hyperlink" Target="https://www.pjm.com/committees-and-groups/issue-tracking/issue-tracking-details.aspx?Issue=47c1f237-ad69-4695-8ba3-ff6cbaf9a037" TargetMode="External" /><Relationship Id="rId8" Type="http://schemas.openxmlformats.org/officeDocument/2006/relationships/hyperlink" Target="https://www.pjm.com/-/media/DotCom/markets-ops/rpm/rpm-auction-info/2028-2029/2028-2029-bra-results-report.pdf" TargetMode="External" /><Relationship Id="rId9" Type="http://schemas.openxmlformats.org/officeDocument/2006/relationships/hyperlink" Target="https://www.pjm.com/committees-and-group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1604F-BD16-48C2-A2DD-8E2080549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