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2454BA" w:rsidP="00A86205" w14:paraId="6B4BA02F" w14:textId="421C8C20">
      <w:pPr>
        <w:pStyle w:val="PostingDate"/>
        <w:rPr>
          <w:sz w:val="16"/>
        </w:rPr>
      </w:pPr>
      <w:r w:rsidRPr="002454BA">
        <w:t xml:space="preserve">As </w:t>
      </w:r>
      <w:r w:rsidRPr="00697860">
        <w:t xml:space="preserve">of </w:t>
      </w:r>
      <w:r w:rsidRPr="00697860" w:rsidR="002454BA">
        <w:t>Ma</w:t>
      </w:r>
      <w:r w:rsidRPr="00697860" w:rsidR="004D599E">
        <w:t xml:space="preserve">y </w:t>
      </w:r>
      <w:r w:rsidRPr="00697860" w:rsidR="00092B0C">
        <w:t>1</w:t>
      </w:r>
      <w:r w:rsidRPr="00697860" w:rsidR="00A73D6C">
        <w:t>, 2026</w:t>
      </w:r>
      <w:r w:rsidRPr="002454BA">
        <w:t xml:space="preserve">  </w:t>
      </w:r>
    </w:p>
    <w:p w:rsidR="00860F1E" w:rsidRPr="004366FE" w:rsidP="00860F1E" w14:paraId="4F4D121A" w14:textId="77777777">
      <w:pPr>
        <w:pStyle w:val="MeetingDetails"/>
      </w:pPr>
      <w:bookmarkStart w:id="0" w:name="OLE_LINK5"/>
      <w:bookmarkStart w:id="1" w:name="OLE_LINK3"/>
      <w:r w:rsidRPr="004366FE">
        <w:t>Planning Committee</w:t>
      </w:r>
      <w:r>
        <w:t xml:space="preserve"> </w:t>
      </w:r>
    </w:p>
    <w:p w:rsidR="00860F1E" w:rsidRPr="00317419" w:rsidP="00860F1E" w14:paraId="5ABC3FFE" w14:textId="6BF3D75F">
      <w:pPr>
        <w:spacing w:after="0" w:line="240" w:lineRule="auto"/>
        <w:rPr>
          <w:rFonts w:ascii="Arial Narrow" w:eastAsia="Times New Roman" w:hAnsi="Arial Narrow"/>
          <w:b/>
          <w:sz w:val="24"/>
          <w:szCs w:val="24"/>
        </w:rPr>
      </w:pPr>
      <w:r>
        <w:rPr>
          <w:rFonts w:ascii="Arial Narrow" w:eastAsia="Times New Roman" w:hAnsi="Arial Narrow"/>
          <w:b/>
          <w:sz w:val="24"/>
          <w:szCs w:val="24"/>
        </w:rPr>
        <w:t>Webex</w:t>
      </w:r>
    </w:p>
    <w:p w:rsidR="00860F1E" w:rsidRPr="004366FE" w:rsidP="00860F1E" w14:paraId="02EFD73B" w14:textId="4BAEA591">
      <w:pPr>
        <w:pStyle w:val="MeetingDetails"/>
        <w:tabs>
          <w:tab w:val="left" w:pos="7457"/>
        </w:tabs>
      </w:pPr>
      <w:r>
        <w:t>May 8</w:t>
      </w:r>
      <w:r w:rsidR="00734936">
        <w:t>, 2026</w:t>
      </w:r>
      <w:r w:rsidR="00BB3BC6">
        <w:tab/>
      </w:r>
    </w:p>
    <w:p w:rsidR="00860F1E" w:rsidRPr="00B62597" w:rsidP="00860F1E" w14:paraId="4620B1BF" w14:textId="77777777">
      <w:pPr>
        <w:pStyle w:val="MeetingDetails"/>
        <w:spacing w:after="240"/>
        <w:rPr>
          <w:szCs w:val="20"/>
        </w:rPr>
      </w:pPr>
      <w:r>
        <w:t>9</w:t>
      </w:r>
      <w:r w:rsidRPr="00A27570" w:rsidR="00BB3BC6">
        <w:t xml:space="preserve">:00 a.m. – </w:t>
      </w:r>
      <w:r w:rsidRPr="00A27570" w:rsidR="00F45730">
        <w:t>1</w:t>
      </w:r>
      <w:r w:rsidR="007C7926">
        <w:t>2</w:t>
      </w:r>
      <w:r w:rsidRPr="00A27570" w:rsidR="00F45730">
        <w:t>:</w:t>
      </w:r>
      <w:r w:rsidR="007C7926">
        <w:t>0</w:t>
      </w:r>
      <w:r w:rsidRPr="00A27570" w:rsidR="00A27570">
        <w:t>0</w:t>
      </w:r>
      <w:r w:rsidRPr="00A27570" w:rsidR="00F45730">
        <w:t xml:space="preserve"> </w:t>
      </w:r>
      <w:r w:rsidRPr="00A27570" w:rsidR="000557EC">
        <w:t>p</w:t>
      </w:r>
      <w:r w:rsidRPr="00A27570" w:rsidR="00F45730">
        <w:t>.m</w:t>
      </w:r>
      <w:r w:rsidRPr="00A27570" w:rsidR="00A84C0B">
        <w:t>.</w:t>
      </w:r>
      <w:r w:rsidRPr="000557EC" w:rsidR="00BB3BC6">
        <w:t xml:space="preserve"> EPT</w:t>
      </w:r>
    </w:p>
    <w:p w:rsidR="00B62597" w:rsidRPr="00B62597" w:rsidP="007C2954" w14:paraId="6F4FD8E2" w14:textId="77777777">
      <w:pPr>
        <w:pStyle w:val="PrimaryHeading"/>
        <w:rPr>
          <w:caps/>
        </w:rPr>
      </w:pPr>
      <w:r w:rsidRPr="00527104">
        <w:t>Adm</w:t>
      </w:r>
      <w:r w:rsidRPr="007C2954">
        <w:t>inistrati</w:t>
      </w:r>
      <w:r w:rsidRPr="00527104">
        <w:t>on (</w:t>
      </w:r>
      <w:r w:rsidR="00674419">
        <w:t>9</w:t>
      </w:r>
      <w:r w:rsidRPr="00527104">
        <w:t>:00</w:t>
      </w:r>
      <w:r w:rsidR="00674419">
        <w:t xml:space="preserve"> </w:t>
      </w:r>
      <w:r w:rsidRPr="00527104">
        <w:t>-</w:t>
      </w:r>
      <w:r w:rsidR="00674419">
        <w:t xml:space="preserve"> 9</w:t>
      </w:r>
      <w:r w:rsidRPr="00527104">
        <w:t>:</w:t>
      </w:r>
      <w:r w:rsidR="00674419">
        <w:t>1</w:t>
      </w:r>
      <w:r w:rsidR="007C6D91">
        <w:t>0</w:t>
      </w:r>
      <w:r w:rsidRPr="00527104">
        <w:t>)</w:t>
      </w:r>
    </w:p>
    <w:bookmarkEnd w:id="0"/>
    <w:bookmarkEnd w:id="1"/>
    <w:p w:rsidR="00AB55FE" w:rsidRPr="00002B4A" w:rsidP="00002B4A" w14:paraId="6540478B" w14:textId="77777777">
      <w:pPr>
        <w:pStyle w:val="ListSubhead1"/>
        <w:numPr>
          <w:ilvl w:val="0"/>
          <w:numId w:val="3"/>
        </w:numPr>
        <w:spacing w:before="120"/>
        <w:jc w:val="both"/>
        <w:rPr>
          <w:b w:val="0"/>
        </w:rPr>
      </w:pPr>
      <w:r w:rsidRPr="00431953">
        <w:rPr>
          <w:b w:val="0"/>
        </w:rPr>
        <w:t>Welcome, announcements</w:t>
      </w:r>
      <w:r w:rsidR="00661C2C">
        <w:rPr>
          <w:b w:val="0"/>
        </w:rPr>
        <w:t>,</w:t>
      </w:r>
      <w:r w:rsidRPr="00431953">
        <w:rPr>
          <w:b w:val="0"/>
        </w:rPr>
        <w:t xml:space="preserve"> and review of the Anti-trust, Code of Conduct, and Media Participation Guidelines</w:t>
      </w:r>
      <w:r>
        <w:rPr>
          <w:b w:val="0"/>
        </w:rPr>
        <w:t>.</w:t>
      </w:r>
    </w:p>
    <w:p w:rsidR="00757A73" w:rsidP="00D23973" w14:paraId="6E0579A2" w14:textId="27C0E32D">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sidR="004D599E">
        <w:rPr>
          <w:b w:val="0"/>
        </w:rPr>
        <w:t>April 7</w:t>
      </w:r>
      <w:r w:rsidR="000557EC">
        <w:rPr>
          <w:b w:val="0"/>
        </w:rPr>
        <w:t>, 2026</w:t>
      </w:r>
      <w:r>
        <w:rPr>
          <w:b w:val="0"/>
        </w:rPr>
        <w:t xml:space="preserve"> </w:t>
      </w:r>
      <w:r w:rsidR="00BB7727">
        <w:rPr>
          <w:b w:val="0"/>
        </w:rPr>
        <w:t>Pla</w:t>
      </w:r>
      <w:r w:rsidR="006928D3">
        <w:rPr>
          <w:b w:val="0"/>
        </w:rPr>
        <w:t>nning Committee meeting</w:t>
      </w:r>
      <w:r w:rsidR="00BB7727">
        <w:rPr>
          <w:b w:val="0"/>
        </w:rPr>
        <w:t>.</w:t>
      </w:r>
    </w:p>
    <w:p w:rsidR="004D599E" w:rsidP="004D599E" w14:paraId="0982C631" w14:textId="7782C73C">
      <w:pPr>
        <w:pStyle w:val="ListSubhead1"/>
        <w:numPr>
          <w:ilvl w:val="0"/>
          <w:numId w:val="3"/>
        </w:numPr>
        <w:jc w:val="both"/>
        <w:rPr>
          <w:b w:val="0"/>
        </w:rPr>
      </w:pPr>
      <w:r>
        <w:rPr>
          <w:b w:val="0"/>
        </w:rPr>
        <w:t xml:space="preserve">Review and </w:t>
      </w:r>
      <w:r w:rsidRPr="00E275DD">
        <w:t>approve</w:t>
      </w:r>
      <w:r w:rsidRPr="007C6862">
        <w:rPr>
          <w:b w:val="0"/>
        </w:rPr>
        <w:t xml:space="preserve"> </w:t>
      </w:r>
      <w:r w:rsidRPr="007E1802">
        <w:rPr>
          <w:b w:val="0"/>
        </w:rPr>
        <w:t>draft minutes</w:t>
      </w:r>
      <w:r w:rsidRPr="007C6862">
        <w:rPr>
          <w:b w:val="0"/>
        </w:rPr>
        <w:t xml:space="preserve"> from </w:t>
      </w:r>
      <w:r>
        <w:rPr>
          <w:b w:val="0"/>
        </w:rPr>
        <w:t>April 20, 2026 Planning Committee Special Session meeting.</w:t>
      </w:r>
    </w:p>
    <w:p w:rsidR="00636ABF" w:rsidRPr="00636ABF" w:rsidP="00636ABF" w14:paraId="63182965" w14:textId="77777777">
      <w:pPr>
        <w:pStyle w:val="PrimaryHeading"/>
      </w:pPr>
      <w:r>
        <w:t>E</w:t>
      </w:r>
      <w:r w:rsidR="00674419">
        <w:t>ndorsements</w:t>
      </w:r>
      <w:r w:rsidR="005F09A7">
        <w:t xml:space="preserve"> (9:10-9:</w:t>
      </w:r>
      <w:r w:rsidR="00AE05CC">
        <w:t>4</w:t>
      </w:r>
      <w:r w:rsidR="005F09A7">
        <w:t>0)</w:t>
      </w:r>
    </w:p>
    <w:p w:rsidR="004D599E" w:rsidP="004D599E" w14:paraId="74DFADF3" w14:textId="77777777">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Manual 14A Retirement</w:t>
      </w:r>
    </w:p>
    <w:p w:rsidR="004D599E" w:rsidP="004D599E" w14:paraId="442133E5" w14:textId="77777777">
      <w:pPr>
        <w:pStyle w:val="ListParagraph"/>
        <w:tabs>
          <w:tab w:val="left" w:pos="552"/>
          <w:tab w:val="left" w:pos="741"/>
          <w:tab w:val="left" w:pos="971"/>
        </w:tabs>
        <w:ind w:left="360"/>
        <w:rPr>
          <w:rFonts w:ascii="Arial Narrow" w:hAnsi="Arial Narrow"/>
          <w:sz w:val="24"/>
          <w:szCs w:val="24"/>
          <w:u w:val="single"/>
        </w:rPr>
      </w:pPr>
    </w:p>
    <w:p w:rsidR="004D599E" w:rsidP="004D599E" w14:paraId="48D0B254" w14:textId="5E2F7B58">
      <w:pPr>
        <w:pStyle w:val="ListParagraph"/>
        <w:tabs>
          <w:tab w:val="left" w:pos="552"/>
          <w:tab w:val="left" w:pos="741"/>
          <w:tab w:val="left" w:pos="971"/>
        </w:tabs>
        <w:ind w:left="360"/>
        <w:jc w:val="both"/>
        <w:rPr>
          <w:rFonts w:ascii="Arial Narrow" w:hAnsi="Arial Narrow"/>
          <w:sz w:val="24"/>
          <w:szCs w:val="24"/>
        </w:rPr>
      </w:pPr>
      <w:r w:rsidRPr="00F64959">
        <w:rPr>
          <w:rFonts w:ascii="Arial Narrow" w:hAnsi="Arial Narrow"/>
          <w:sz w:val="24"/>
          <w:szCs w:val="24"/>
        </w:rPr>
        <w:t xml:space="preserve">Michelle Farhat, PJM, </w:t>
      </w:r>
      <w:r>
        <w:rPr>
          <w:rFonts w:ascii="Arial Narrow" w:hAnsi="Arial Narrow"/>
          <w:sz w:val="24"/>
          <w:szCs w:val="24"/>
        </w:rPr>
        <w:t xml:space="preserve">will review the proposal for the retirement of Manual 14A: New Services Request Process. </w:t>
      </w:r>
      <w:r w:rsidRPr="00F64959">
        <w:rPr>
          <w:rFonts w:ascii="Arial Narrow" w:hAnsi="Arial Narrow"/>
          <w:b/>
          <w:bCs/>
          <w:sz w:val="24"/>
          <w:szCs w:val="24"/>
        </w:rPr>
        <w:t>The committe</w:t>
      </w:r>
      <w:r>
        <w:rPr>
          <w:rFonts w:ascii="Arial Narrow" w:hAnsi="Arial Narrow"/>
          <w:b/>
          <w:bCs/>
          <w:sz w:val="24"/>
          <w:szCs w:val="24"/>
        </w:rPr>
        <w:t>e</w:t>
      </w:r>
      <w:r w:rsidRPr="00F64959">
        <w:rPr>
          <w:rFonts w:ascii="Arial Narrow" w:hAnsi="Arial Narrow"/>
          <w:b/>
          <w:bCs/>
          <w:sz w:val="24"/>
          <w:szCs w:val="24"/>
        </w:rPr>
        <w:t xml:space="preserve"> will be asked to endorse this proposal at </w:t>
      </w:r>
      <w:r>
        <w:rPr>
          <w:rFonts w:ascii="Arial Narrow" w:hAnsi="Arial Narrow"/>
          <w:b/>
          <w:bCs/>
          <w:sz w:val="24"/>
          <w:szCs w:val="24"/>
        </w:rPr>
        <w:t xml:space="preserve">this </w:t>
      </w:r>
      <w:r w:rsidRPr="00F64959">
        <w:rPr>
          <w:rFonts w:ascii="Arial Narrow" w:hAnsi="Arial Narrow"/>
          <w:b/>
          <w:bCs/>
          <w:sz w:val="24"/>
          <w:szCs w:val="24"/>
        </w:rPr>
        <w:t>meeting.</w:t>
      </w:r>
      <w:r>
        <w:rPr>
          <w:rFonts w:ascii="Arial Narrow" w:hAnsi="Arial Narrow"/>
          <w:sz w:val="24"/>
          <w:szCs w:val="24"/>
        </w:rPr>
        <w:t xml:space="preserve"> </w:t>
      </w:r>
    </w:p>
    <w:p w:rsidR="004D599E" w:rsidP="004D599E" w14:paraId="09562E10" w14:textId="77777777">
      <w:pPr>
        <w:pStyle w:val="ListParagraph"/>
        <w:tabs>
          <w:tab w:val="left" w:pos="552"/>
          <w:tab w:val="left" w:pos="741"/>
          <w:tab w:val="left" w:pos="971"/>
        </w:tabs>
        <w:ind w:left="360"/>
        <w:rPr>
          <w:rFonts w:ascii="Arial Narrow" w:hAnsi="Arial Narrow"/>
          <w:sz w:val="24"/>
          <w:szCs w:val="24"/>
        </w:rPr>
      </w:pPr>
    </w:p>
    <w:p w:rsidR="004D599E" w:rsidP="004D599E" w14:paraId="4A31E4B8" w14:textId="77777777">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Manual 14E Retirement</w:t>
      </w:r>
    </w:p>
    <w:p w:rsidR="004D599E" w:rsidP="004D599E" w14:paraId="77203690" w14:textId="77777777">
      <w:pPr>
        <w:pStyle w:val="ListParagraph"/>
        <w:tabs>
          <w:tab w:val="left" w:pos="552"/>
          <w:tab w:val="left" w:pos="741"/>
          <w:tab w:val="left" w:pos="971"/>
        </w:tabs>
        <w:ind w:left="360"/>
        <w:rPr>
          <w:rFonts w:ascii="Arial Narrow" w:hAnsi="Arial Narrow"/>
          <w:sz w:val="24"/>
          <w:szCs w:val="24"/>
          <w:u w:val="single"/>
        </w:rPr>
      </w:pPr>
    </w:p>
    <w:p w:rsidR="004D599E" w:rsidP="004D599E" w14:paraId="29DA3CB5" w14:textId="1A00578A">
      <w:pPr>
        <w:pStyle w:val="ListParagraph"/>
        <w:tabs>
          <w:tab w:val="left" w:pos="552"/>
          <w:tab w:val="left" w:pos="741"/>
          <w:tab w:val="left" w:pos="971"/>
        </w:tabs>
        <w:ind w:left="360"/>
        <w:jc w:val="both"/>
        <w:rPr>
          <w:rFonts w:ascii="Arial Narrow" w:hAnsi="Arial Narrow"/>
          <w:sz w:val="24"/>
          <w:szCs w:val="24"/>
        </w:rPr>
      </w:pPr>
      <w:r w:rsidRPr="00F64959">
        <w:rPr>
          <w:rFonts w:ascii="Arial Narrow" w:hAnsi="Arial Narrow"/>
          <w:sz w:val="24"/>
          <w:szCs w:val="24"/>
        </w:rPr>
        <w:t xml:space="preserve">Michelle Farhat, PJM, </w:t>
      </w:r>
      <w:r>
        <w:rPr>
          <w:rFonts w:ascii="Arial Narrow" w:hAnsi="Arial Narrow"/>
          <w:sz w:val="24"/>
          <w:szCs w:val="24"/>
        </w:rPr>
        <w:t xml:space="preserve">will review the proposal for the retirement of Manual 14E: Upgrade and Transmission Interconnection Requests. </w:t>
      </w:r>
      <w:r w:rsidRPr="00F64959">
        <w:rPr>
          <w:rFonts w:ascii="Arial Narrow" w:hAnsi="Arial Narrow"/>
          <w:b/>
          <w:bCs/>
          <w:sz w:val="24"/>
          <w:szCs w:val="24"/>
        </w:rPr>
        <w:t>The committe</w:t>
      </w:r>
      <w:r>
        <w:rPr>
          <w:rFonts w:ascii="Arial Narrow" w:hAnsi="Arial Narrow"/>
          <w:b/>
          <w:bCs/>
          <w:sz w:val="24"/>
          <w:szCs w:val="24"/>
        </w:rPr>
        <w:t>e</w:t>
      </w:r>
      <w:r w:rsidRPr="00F64959">
        <w:rPr>
          <w:rFonts w:ascii="Arial Narrow" w:hAnsi="Arial Narrow"/>
          <w:b/>
          <w:bCs/>
          <w:sz w:val="24"/>
          <w:szCs w:val="24"/>
        </w:rPr>
        <w:t xml:space="preserve"> will be asked to endorse this proposal at </w:t>
      </w:r>
      <w:r>
        <w:rPr>
          <w:rFonts w:ascii="Arial Narrow" w:hAnsi="Arial Narrow"/>
          <w:b/>
          <w:bCs/>
          <w:sz w:val="24"/>
          <w:szCs w:val="24"/>
        </w:rPr>
        <w:t>this</w:t>
      </w:r>
      <w:r w:rsidRPr="00F64959">
        <w:rPr>
          <w:rFonts w:ascii="Arial Narrow" w:hAnsi="Arial Narrow"/>
          <w:b/>
          <w:bCs/>
          <w:sz w:val="24"/>
          <w:szCs w:val="24"/>
        </w:rPr>
        <w:t xml:space="preserve"> meeting.</w:t>
      </w:r>
      <w:r>
        <w:rPr>
          <w:rFonts w:ascii="Arial Narrow" w:hAnsi="Arial Narrow"/>
          <w:sz w:val="24"/>
          <w:szCs w:val="24"/>
        </w:rPr>
        <w:t xml:space="preserve"> </w:t>
      </w:r>
    </w:p>
    <w:p w:rsidR="004D599E" w:rsidP="004D599E" w14:paraId="3457B21D" w14:textId="77777777">
      <w:pPr>
        <w:pStyle w:val="ListParagraph"/>
        <w:tabs>
          <w:tab w:val="left" w:pos="552"/>
          <w:tab w:val="left" w:pos="741"/>
          <w:tab w:val="left" w:pos="971"/>
        </w:tabs>
        <w:ind w:left="360"/>
        <w:rPr>
          <w:rFonts w:ascii="Arial Narrow" w:hAnsi="Arial Narrow"/>
          <w:sz w:val="24"/>
          <w:szCs w:val="24"/>
          <w:u w:val="single"/>
        </w:rPr>
      </w:pPr>
    </w:p>
    <w:p w:rsidR="004D599E" w:rsidRPr="00812A10" w:rsidP="004D599E" w14:paraId="2358CB84" w14:textId="77777777">
      <w:pPr>
        <w:pStyle w:val="ListParagraph"/>
        <w:numPr>
          <w:ilvl w:val="0"/>
          <w:numId w:val="3"/>
        </w:numPr>
        <w:tabs>
          <w:tab w:val="left" w:pos="552"/>
          <w:tab w:val="left" w:pos="741"/>
          <w:tab w:val="left" w:pos="971"/>
        </w:tabs>
        <w:rPr>
          <w:rFonts w:ascii="Arial Narrow" w:hAnsi="Arial Narrow"/>
          <w:sz w:val="24"/>
          <w:szCs w:val="24"/>
          <w:u w:val="single"/>
        </w:rPr>
      </w:pPr>
      <w:r w:rsidRPr="00812A10">
        <w:rPr>
          <w:rFonts w:ascii="Arial Narrow" w:hAnsi="Arial Narrow"/>
          <w:sz w:val="24"/>
          <w:szCs w:val="24"/>
          <w:u w:val="single"/>
        </w:rPr>
        <w:t>Manual 14H</w:t>
      </w:r>
      <w:r>
        <w:rPr>
          <w:rFonts w:ascii="Arial Narrow" w:hAnsi="Arial Narrow"/>
          <w:sz w:val="24"/>
          <w:szCs w:val="24"/>
          <w:u w:val="single"/>
        </w:rPr>
        <w:t xml:space="preserve"> Revisions:</w:t>
      </w:r>
      <w:r w:rsidRPr="00812A10">
        <w:rPr>
          <w:rFonts w:ascii="Arial Narrow" w:hAnsi="Arial Narrow"/>
          <w:sz w:val="24"/>
          <w:szCs w:val="24"/>
          <w:u w:val="single"/>
        </w:rPr>
        <w:t xml:space="preserve"> Elimination of First Use</w:t>
      </w:r>
    </w:p>
    <w:p w:rsidR="004D599E" w:rsidP="004D599E" w14:paraId="20845DA6" w14:textId="77777777">
      <w:pPr>
        <w:pStyle w:val="ListParagraph"/>
        <w:tabs>
          <w:tab w:val="left" w:pos="552"/>
          <w:tab w:val="left" w:pos="741"/>
          <w:tab w:val="left" w:pos="971"/>
        </w:tabs>
        <w:ind w:left="360"/>
        <w:rPr>
          <w:rFonts w:ascii="Arial Narrow" w:hAnsi="Arial Narrow"/>
          <w:sz w:val="24"/>
          <w:szCs w:val="24"/>
        </w:rPr>
      </w:pPr>
    </w:p>
    <w:p w:rsidR="004D599E" w:rsidRPr="00F64959" w:rsidP="004D599E" w14:paraId="110962DA" w14:textId="1AAE3DEA">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Michelle Farhat, PJM, will provide an update on Manual 14H: New Service Requests Cycle Process revisions. These revisions are part of the conforming changes for the elimination of first use.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this</w:t>
      </w:r>
      <w:r w:rsidRPr="00F64959">
        <w:rPr>
          <w:rFonts w:ascii="Arial Narrow" w:hAnsi="Arial Narrow"/>
          <w:b/>
          <w:bCs/>
          <w:sz w:val="24"/>
          <w:szCs w:val="24"/>
        </w:rPr>
        <w:t xml:space="preserve"> meeting.  </w:t>
      </w:r>
    </w:p>
    <w:p w:rsidR="004D599E" w:rsidP="004D599E" w14:paraId="30220BDB" w14:textId="77777777">
      <w:pPr>
        <w:pStyle w:val="ListParagraph"/>
        <w:tabs>
          <w:tab w:val="left" w:pos="552"/>
          <w:tab w:val="left" w:pos="741"/>
          <w:tab w:val="left" w:pos="971"/>
        </w:tabs>
        <w:ind w:left="360"/>
        <w:rPr>
          <w:rFonts w:ascii="Arial Narrow" w:hAnsi="Arial Narrow"/>
          <w:sz w:val="24"/>
          <w:szCs w:val="24"/>
        </w:rPr>
      </w:pPr>
    </w:p>
    <w:p w:rsidR="004D599E" w:rsidRPr="00092B0C" w:rsidP="004D599E" w14:paraId="252D8F0D" w14:textId="77777777">
      <w:pPr>
        <w:pStyle w:val="ListParagraph"/>
        <w:numPr>
          <w:ilvl w:val="0"/>
          <w:numId w:val="3"/>
        </w:numPr>
        <w:tabs>
          <w:tab w:val="left" w:pos="552"/>
          <w:tab w:val="left" w:pos="741"/>
          <w:tab w:val="left" w:pos="971"/>
        </w:tabs>
        <w:rPr>
          <w:rFonts w:ascii="Arial Narrow" w:hAnsi="Arial Narrow"/>
          <w:sz w:val="24"/>
          <w:szCs w:val="24"/>
          <w:u w:val="single"/>
        </w:rPr>
      </w:pPr>
      <w:r w:rsidRPr="00092B0C">
        <w:rPr>
          <w:rFonts w:ascii="Arial Narrow" w:hAnsi="Arial Narrow"/>
          <w:sz w:val="24"/>
          <w:szCs w:val="24"/>
          <w:u w:val="single"/>
        </w:rPr>
        <w:t>Manual 14H</w:t>
      </w:r>
      <w:r>
        <w:rPr>
          <w:rFonts w:ascii="Arial Narrow" w:hAnsi="Arial Narrow"/>
          <w:sz w:val="24"/>
          <w:szCs w:val="24"/>
          <w:u w:val="single"/>
        </w:rPr>
        <w:t xml:space="preserve"> Revisions:</w:t>
      </w:r>
      <w:r w:rsidRPr="00092B0C">
        <w:rPr>
          <w:rFonts w:ascii="Arial Narrow" w:hAnsi="Arial Narrow"/>
          <w:sz w:val="24"/>
          <w:szCs w:val="24"/>
          <w:u w:val="single"/>
        </w:rPr>
        <w:t xml:space="preserve"> Replacement Generation </w:t>
      </w:r>
      <w:r>
        <w:rPr>
          <w:rFonts w:ascii="Arial Narrow" w:hAnsi="Arial Narrow"/>
          <w:sz w:val="24"/>
          <w:szCs w:val="24"/>
          <w:u w:val="single"/>
        </w:rPr>
        <w:t>Interconnection Service</w:t>
      </w:r>
    </w:p>
    <w:p w:rsidR="004D599E" w:rsidP="004D599E" w14:paraId="5FD5ABEE" w14:textId="77777777">
      <w:pPr>
        <w:pStyle w:val="ListParagraph"/>
        <w:tabs>
          <w:tab w:val="left" w:pos="552"/>
          <w:tab w:val="left" w:pos="741"/>
          <w:tab w:val="left" w:pos="971"/>
        </w:tabs>
        <w:ind w:left="360"/>
        <w:rPr>
          <w:rFonts w:ascii="Arial Narrow" w:hAnsi="Arial Narrow"/>
          <w:sz w:val="24"/>
          <w:szCs w:val="24"/>
        </w:rPr>
      </w:pPr>
    </w:p>
    <w:p w:rsidR="004D599E" w:rsidP="004D599E" w14:paraId="2331AADF" w14:textId="14F1AC9D">
      <w:pPr>
        <w:pStyle w:val="ListParagraph"/>
        <w:tabs>
          <w:tab w:val="left" w:pos="552"/>
          <w:tab w:val="left" w:pos="741"/>
          <w:tab w:val="left" w:pos="971"/>
        </w:tabs>
        <w:ind w:left="360"/>
        <w:jc w:val="both"/>
        <w:rPr>
          <w:rFonts w:ascii="Arial Narrow" w:hAnsi="Arial Narrow"/>
          <w:sz w:val="24"/>
          <w:szCs w:val="24"/>
        </w:rPr>
      </w:pPr>
      <w:r>
        <w:rPr>
          <w:rFonts w:ascii="Arial Narrow" w:hAnsi="Arial Narrow"/>
          <w:sz w:val="24"/>
          <w:szCs w:val="24"/>
        </w:rPr>
        <w:t xml:space="preserve">Dylan Seeley, PJM, will provide an update on Manual 14H: New Service Requests Cycle Process revisions. These revisions are part of the conforming changes for replacement generation.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this</w:t>
      </w:r>
      <w:r w:rsidRPr="00F64959">
        <w:rPr>
          <w:rFonts w:ascii="Arial Narrow" w:hAnsi="Arial Narrow"/>
          <w:b/>
          <w:bCs/>
          <w:sz w:val="24"/>
          <w:szCs w:val="24"/>
        </w:rPr>
        <w:t xml:space="preserve"> meeting.</w:t>
      </w:r>
    </w:p>
    <w:p w:rsidR="00B45AD6" w:rsidP="0040175F" w14:paraId="5A2CCAD5" w14:textId="77777777">
      <w:pPr>
        <w:pStyle w:val="ListParagraph"/>
        <w:tabs>
          <w:tab w:val="left" w:pos="552"/>
          <w:tab w:val="left" w:pos="741"/>
          <w:tab w:val="left" w:pos="971"/>
        </w:tabs>
        <w:ind w:left="241"/>
        <w:rPr>
          <w:rFonts w:ascii="Arial Narrow" w:hAnsi="Arial Narrow"/>
          <w:sz w:val="24"/>
          <w:szCs w:val="24"/>
        </w:rPr>
      </w:pPr>
      <w:r w:rsidRPr="0040175F">
        <w:rPr>
          <w:rFonts w:ascii="Arial Narrow" w:hAnsi="Arial Narrow"/>
          <w:sz w:val="24"/>
          <w:szCs w:val="24"/>
        </w:rPr>
        <w:t xml:space="preserve"> </w:t>
      </w:r>
    </w:p>
    <w:p w:rsidR="00697860" w:rsidP="0040175F" w14:paraId="3B0E7821" w14:textId="77777777">
      <w:pPr>
        <w:pStyle w:val="ListParagraph"/>
        <w:tabs>
          <w:tab w:val="left" w:pos="552"/>
          <w:tab w:val="left" w:pos="741"/>
          <w:tab w:val="left" w:pos="971"/>
        </w:tabs>
        <w:ind w:left="241"/>
        <w:rPr>
          <w:rFonts w:ascii="Arial Narrow" w:hAnsi="Arial Narrow"/>
          <w:sz w:val="24"/>
          <w:szCs w:val="24"/>
        </w:rPr>
      </w:pPr>
    </w:p>
    <w:p w:rsidR="00697860" w:rsidP="0040175F" w14:paraId="2B20DD86" w14:textId="77777777">
      <w:pPr>
        <w:pStyle w:val="ListParagraph"/>
        <w:tabs>
          <w:tab w:val="left" w:pos="552"/>
          <w:tab w:val="left" w:pos="741"/>
          <w:tab w:val="left" w:pos="971"/>
        </w:tabs>
        <w:ind w:left="241"/>
        <w:rPr>
          <w:rFonts w:ascii="Arial Narrow" w:hAnsi="Arial Narrow"/>
          <w:sz w:val="24"/>
          <w:szCs w:val="24"/>
        </w:rPr>
      </w:pPr>
    </w:p>
    <w:p w:rsidR="00697860" w:rsidP="0040175F" w14:paraId="59DAF816" w14:textId="77777777">
      <w:pPr>
        <w:pStyle w:val="ListParagraph"/>
        <w:tabs>
          <w:tab w:val="left" w:pos="552"/>
          <w:tab w:val="left" w:pos="741"/>
          <w:tab w:val="left" w:pos="971"/>
        </w:tabs>
        <w:ind w:left="241"/>
        <w:rPr>
          <w:rFonts w:ascii="Arial Narrow" w:hAnsi="Arial Narrow"/>
          <w:sz w:val="24"/>
          <w:szCs w:val="24"/>
        </w:rPr>
      </w:pPr>
    </w:p>
    <w:p w:rsidR="00697860" w:rsidRPr="0040175F" w:rsidP="0040175F" w14:paraId="1475BB94" w14:textId="77777777">
      <w:pPr>
        <w:pStyle w:val="ListParagraph"/>
        <w:tabs>
          <w:tab w:val="left" w:pos="552"/>
          <w:tab w:val="left" w:pos="741"/>
          <w:tab w:val="left" w:pos="971"/>
        </w:tabs>
        <w:ind w:left="241"/>
        <w:rPr>
          <w:rFonts w:ascii="Arial Narrow" w:hAnsi="Arial Narrow"/>
          <w:sz w:val="24"/>
          <w:szCs w:val="24"/>
          <w:u w:val="single"/>
        </w:rPr>
      </w:pPr>
    </w:p>
    <w:p w:rsidR="003C0D41" w:rsidRPr="00697860" w:rsidP="00697860" w14:paraId="1139082E" w14:textId="5FB14BBD">
      <w:pPr>
        <w:pStyle w:val="PrimaryHeading"/>
      </w:pPr>
      <w:r>
        <w:t xml:space="preserve">First </w:t>
      </w:r>
      <w:r w:rsidR="009E2480">
        <w:t>Reads (9:</w:t>
      </w:r>
      <w:r w:rsidR="00AE05CC">
        <w:t>4</w:t>
      </w:r>
      <w:r w:rsidR="009E2480">
        <w:t>0-10:</w:t>
      </w:r>
      <w:r w:rsidR="009005E8">
        <w:t>3</w:t>
      </w:r>
      <w:r w:rsidR="009E2480">
        <w:t>0)</w:t>
      </w:r>
    </w:p>
    <w:p w:rsidR="003C0D41" w:rsidP="00812A10" w14:paraId="757C800F" w14:textId="77777777">
      <w:pPr>
        <w:pStyle w:val="ListParagraph"/>
        <w:tabs>
          <w:tab w:val="left" w:pos="552"/>
          <w:tab w:val="left" w:pos="741"/>
          <w:tab w:val="left" w:pos="971"/>
        </w:tabs>
        <w:ind w:left="360"/>
        <w:rPr>
          <w:rFonts w:ascii="Arial Narrow" w:hAnsi="Arial Narrow"/>
          <w:sz w:val="24"/>
          <w:szCs w:val="24"/>
        </w:rPr>
      </w:pPr>
    </w:p>
    <w:p w:rsidR="005A187E" w:rsidP="004D599E" w14:paraId="51A9C443" w14:textId="0AB02BFE">
      <w:pPr>
        <w:pStyle w:val="ListParagraph"/>
        <w:numPr>
          <w:ilvl w:val="0"/>
          <w:numId w:val="3"/>
        </w:numPr>
        <w:tabs>
          <w:tab w:val="left" w:pos="552"/>
          <w:tab w:val="left" w:pos="741"/>
          <w:tab w:val="left" w:pos="971"/>
        </w:tabs>
        <w:rPr>
          <w:rFonts w:ascii="Arial Narrow" w:hAnsi="Arial Narrow"/>
          <w:sz w:val="24"/>
          <w:szCs w:val="24"/>
          <w:u w:val="single"/>
        </w:rPr>
      </w:pPr>
      <w:r>
        <w:rPr>
          <w:rFonts w:ascii="Arial Narrow" w:hAnsi="Arial Narrow"/>
          <w:sz w:val="24"/>
          <w:szCs w:val="24"/>
          <w:u w:val="single"/>
        </w:rPr>
        <w:t xml:space="preserve">Manual 14H Revisions: </w:t>
      </w:r>
      <w:r w:rsidR="00AD0B2D">
        <w:rPr>
          <w:rFonts w:ascii="Arial Narrow" w:hAnsi="Arial Narrow"/>
          <w:sz w:val="24"/>
          <w:szCs w:val="24"/>
          <w:u w:val="single"/>
        </w:rPr>
        <w:t>Incorporation of IEEE 2800</w:t>
      </w:r>
    </w:p>
    <w:p w:rsidR="004D599E" w:rsidP="004D599E" w14:paraId="1AD963B3" w14:textId="77777777">
      <w:pPr>
        <w:pStyle w:val="ListParagraph"/>
        <w:tabs>
          <w:tab w:val="left" w:pos="552"/>
          <w:tab w:val="left" w:pos="741"/>
          <w:tab w:val="left" w:pos="971"/>
        </w:tabs>
        <w:ind w:left="360"/>
        <w:rPr>
          <w:rFonts w:ascii="Arial Narrow" w:hAnsi="Arial Narrow"/>
          <w:sz w:val="24"/>
          <w:szCs w:val="24"/>
          <w:u w:val="single"/>
        </w:rPr>
      </w:pPr>
    </w:p>
    <w:p w:rsidR="004D599E" w:rsidP="00697860" w14:paraId="48F14F55" w14:textId="239477E2">
      <w:pPr>
        <w:pStyle w:val="ListParagraph"/>
        <w:tabs>
          <w:tab w:val="left" w:pos="552"/>
          <w:tab w:val="left" w:pos="741"/>
          <w:tab w:val="left" w:pos="971"/>
        </w:tabs>
        <w:ind w:left="360"/>
        <w:jc w:val="both"/>
        <w:rPr>
          <w:rFonts w:ascii="Arial Narrow" w:hAnsi="Arial Narrow"/>
          <w:b/>
          <w:bCs/>
          <w:sz w:val="24"/>
          <w:szCs w:val="24"/>
        </w:rPr>
      </w:pPr>
      <w:r>
        <w:rPr>
          <w:rFonts w:ascii="Arial Narrow" w:hAnsi="Arial Narrow"/>
          <w:sz w:val="24"/>
          <w:szCs w:val="24"/>
        </w:rPr>
        <w:t xml:space="preserve">Awais Ghayas, PJM, will provide an update on Manual 14H: New Service Requests Cycle Process revisions. These revisions are for the incorporation of IEEE 2800. </w:t>
      </w:r>
      <w:r w:rsidRPr="00F64959">
        <w:rPr>
          <w:rFonts w:ascii="Arial Narrow" w:hAnsi="Arial Narrow"/>
          <w:b/>
          <w:bCs/>
          <w:sz w:val="24"/>
          <w:szCs w:val="24"/>
        </w:rPr>
        <w:t xml:space="preserve">The committee will be asked to endorse these changes at </w:t>
      </w:r>
      <w:r>
        <w:rPr>
          <w:rFonts w:ascii="Arial Narrow" w:hAnsi="Arial Narrow"/>
          <w:b/>
          <w:bCs/>
          <w:sz w:val="24"/>
          <w:szCs w:val="24"/>
        </w:rPr>
        <w:t>its next</w:t>
      </w:r>
      <w:r w:rsidRPr="00F64959">
        <w:rPr>
          <w:rFonts w:ascii="Arial Narrow" w:hAnsi="Arial Narrow"/>
          <w:b/>
          <w:bCs/>
          <w:sz w:val="24"/>
          <w:szCs w:val="24"/>
        </w:rPr>
        <w:t xml:space="preserve"> meeting.</w:t>
      </w:r>
    </w:p>
    <w:p w:rsidR="00E523A9" w:rsidRPr="00E523A9" w:rsidP="00E523A9" w14:paraId="69EDEE86" w14:textId="1BCA191E">
      <w:pPr>
        <w:tabs>
          <w:tab w:val="left" w:pos="552"/>
          <w:tab w:val="left" w:pos="741"/>
          <w:tab w:val="left" w:pos="971"/>
        </w:tabs>
        <w:rPr>
          <w:rFonts w:ascii="Arial Narrow" w:hAnsi="Arial Narrow"/>
          <w:sz w:val="24"/>
          <w:szCs w:val="24"/>
          <w:u w:val="single"/>
        </w:rPr>
      </w:pPr>
    </w:p>
    <w:p w:rsidR="005D1DAD" w:rsidRPr="00697860" w:rsidP="00E523A9" w14:paraId="599A5A42" w14:textId="10839019">
      <w:pPr>
        <w:pStyle w:val="ListParagraph"/>
        <w:numPr>
          <w:ilvl w:val="0"/>
          <w:numId w:val="3"/>
        </w:numPr>
        <w:tabs>
          <w:tab w:val="left" w:pos="552"/>
          <w:tab w:val="left" w:pos="741"/>
          <w:tab w:val="left" w:pos="971"/>
        </w:tabs>
        <w:rPr>
          <w:rFonts w:ascii="Arial Narrow" w:hAnsi="Arial Narrow"/>
          <w:sz w:val="24"/>
          <w:szCs w:val="24"/>
          <w:u w:val="single"/>
        </w:rPr>
      </w:pPr>
      <w:r w:rsidRPr="00697860">
        <w:rPr>
          <w:rFonts w:ascii="Arial Narrow" w:hAnsi="Arial Narrow"/>
          <w:sz w:val="24"/>
          <w:szCs w:val="24"/>
          <w:u w:val="single"/>
        </w:rPr>
        <w:t>Manual</w:t>
      </w:r>
      <w:r w:rsidRPr="00697860" w:rsidR="003F613C">
        <w:rPr>
          <w:rFonts w:ascii="Arial Narrow" w:hAnsi="Arial Narrow"/>
          <w:sz w:val="24"/>
          <w:szCs w:val="24"/>
          <w:u w:val="single"/>
        </w:rPr>
        <w:t>s</w:t>
      </w:r>
      <w:r w:rsidRPr="00697860">
        <w:rPr>
          <w:rFonts w:ascii="Arial Narrow" w:hAnsi="Arial Narrow"/>
          <w:sz w:val="24"/>
          <w:szCs w:val="24"/>
          <w:u w:val="single"/>
        </w:rPr>
        <w:t xml:space="preserve"> 20A, 21B, 22 Periodic Review</w:t>
      </w:r>
    </w:p>
    <w:p w:rsidR="002F052D" w:rsidRPr="006F18EA" w:rsidP="002F052D" w14:paraId="13714FA4" w14:textId="77777777">
      <w:pPr>
        <w:pStyle w:val="ListParagraph"/>
        <w:tabs>
          <w:tab w:val="left" w:pos="552"/>
          <w:tab w:val="left" w:pos="741"/>
          <w:tab w:val="left" w:pos="971"/>
        </w:tabs>
        <w:ind w:left="360"/>
        <w:rPr>
          <w:rFonts w:ascii="Arial Narrow" w:hAnsi="Arial Narrow"/>
          <w:sz w:val="24"/>
          <w:szCs w:val="24"/>
          <w:highlight w:val="yellow"/>
          <w:u w:val="single"/>
        </w:rPr>
      </w:pPr>
    </w:p>
    <w:p w:rsidR="005D1DAD" w:rsidRPr="005D1DAD" w:rsidP="006B7041" w14:paraId="2D66D5CD" w14:textId="1B533C95">
      <w:pPr>
        <w:pStyle w:val="ListParagraph"/>
        <w:tabs>
          <w:tab w:val="left" w:pos="552"/>
          <w:tab w:val="left" w:pos="741"/>
          <w:tab w:val="left" w:pos="971"/>
        </w:tabs>
        <w:ind w:left="360"/>
        <w:jc w:val="both"/>
        <w:rPr>
          <w:rFonts w:ascii="Arial Narrow" w:hAnsi="Arial Narrow"/>
          <w:sz w:val="24"/>
          <w:szCs w:val="24"/>
        </w:rPr>
      </w:pPr>
      <w:r w:rsidRPr="005D1DAD">
        <w:rPr>
          <w:rFonts w:ascii="Arial Narrow" w:hAnsi="Arial Narrow"/>
          <w:sz w:val="24"/>
          <w:szCs w:val="24"/>
        </w:rPr>
        <w:t xml:space="preserve">Patricio </w:t>
      </w:r>
      <w:r w:rsidR="006B7041">
        <w:rPr>
          <w:rFonts w:ascii="Arial Narrow" w:hAnsi="Arial Narrow"/>
          <w:sz w:val="24"/>
          <w:szCs w:val="24"/>
        </w:rPr>
        <w:t xml:space="preserve">Rocha Garrido, PJM, will provide updates on Manual 20A: Resource Adequacy Analysis, Manual 21B: PJM Rules and Procedures for Determination of Generating Capability, and Manual 22: Generator Resource Performance Indices as part of their periodic review. </w:t>
      </w:r>
      <w:r w:rsidRPr="00F64959" w:rsidR="006B7041">
        <w:rPr>
          <w:rFonts w:ascii="Arial Narrow" w:hAnsi="Arial Narrow"/>
          <w:b/>
          <w:bCs/>
          <w:sz w:val="24"/>
          <w:szCs w:val="24"/>
        </w:rPr>
        <w:t xml:space="preserve">The committee will be asked to endorse these changes at </w:t>
      </w:r>
      <w:r w:rsidR="006B7041">
        <w:rPr>
          <w:rFonts w:ascii="Arial Narrow" w:hAnsi="Arial Narrow"/>
          <w:b/>
          <w:bCs/>
          <w:sz w:val="24"/>
          <w:szCs w:val="24"/>
        </w:rPr>
        <w:t>its next</w:t>
      </w:r>
      <w:r w:rsidRPr="00F64959" w:rsidR="006B7041">
        <w:rPr>
          <w:rFonts w:ascii="Arial Narrow" w:hAnsi="Arial Narrow"/>
          <w:b/>
          <w:bCs/>
          <w:sz w:val="24"/>
          <w:szCs w:val="24"/>
        </w:rPr>
        <w:t xml:space="preserve"> meeting.</w:t>
      </w:r>
    </w:p>
    <w:p w:rsidR="005D1DAD" w:rsidP="005D1DAD" w14:paraId="2A66701F" w14:textId="77777777">
      <w:pPr>
        <w:pStyle w:val="ListParagraph"/>
        <w:tabs>
          <w:tab w:val="left" w:pos="552"/>
          <w:tab w:val="left" w:pos="741"/>
          <w:tab w:val="left" w:pos="971"/>
        </w:tabs>
        <w:ind w:left="360"/>
        <w:rPr>
          <w:rFonts w:ascii="Arial Narrow" w:hAnsi="Arial Narrow"/>
          <w:sz w:val="24"/>
          <w:szCs w:val="24"/>
          <w:u w:val="single"/>
        </w:rPr>
      </w:pPr>
    </w:p>
    <w:p w:rsidR="00AB55FE" w:rsidRPr="009005E8" w:rsidP="00E523A9" w14:paraId="78DB201E" w14:textId="4283E94F">
      <w:pPr>
        <w:pStyle w:val="ListParagraph"/>
        <w:numPr>
          <w:ilvl w:val="0"/>
          <w:numId w:val="3"/>
        </w:numPr>
        <w:tabs>
          <w:tab w:val="left" w:pos="552"/>
          <w:tab w:val="left" w:pos="741"/>
          <w:tab w:val="left" w:pos="971"/>
        </w:tabs>
        <w:rPr>
          <w:rFonts w:ascii="Arial Narrow" w:hAnsi="Arial Narrow"/>
          <w:sz w:val="24"/>
          <w:szCs w:val="24"/>
          <w:u w:val="single"/>
        </w:rPr>
      </w:pPr>
      <w:r w:rsidRPr="009005E8">
        <w:rPr>
          <w:rFonts w:ascii="Arial Narrow" w:hAnsi="Arial Narrow"/>
          <w:sz w:val="24"/>
          <w:szCs w:val="24"/>
          <w:u w:val="single"/>
        </w:rPr>
        <w:t>Fuel Switching for Projects with GIA</w:t>
      </w:r>
    </w:p>
    <w:p w:rsidR="00E523A9" w:rsidP="00E523A9" w14:paraId="402A8EA6" w14:textId="77777777">
      <w:pPr>
        <w:pStyle w:val="ListParagraph"/>
        <w:tabs>
          <w:tab w:val="left" w:pos="552"/>
          <w:tab w:val="left" w:pos="741"/>
          <w:tab w:val="left" w:pos="971"/>
        </w:tabs>
        <w:ind w:left="360"/>
        <w:rPr>
          <w:rFonts w:ascii="Arial Narrow" w:hAnsi="Arial Narrow"/>
          <w:sz w:val="24"/>
          <w:szCs w:val="24"/>
          <w:u w:val="single"/>
        </w:rPr>
      </w:pPr>
    </w:p>
    <w:p w:rsidR="005D1DAD" w:rsidRPr="005D1DAD" w:rsidP="009005E8" w14:paraId="5F48E0A4" w14:textId="05C886DE">
      <w:pPr>
        <w:pStyle w:val="ListParagraph"/>
        <w:tabs>
          <w:tab w:val="left" w:pos="552"/>
          <w:tab w:val="left" w:pos="741"/>
          <w:tab w:val="left" w:pos="971"/>
        </w:tabs>
        <w:ind w:left="360"/>
        <w:jc w:val="both"/>
        <w:rPr>
          <w:rFonts w:ascii="Arial Narrow" w:hAnsi="Arial Narrow"/>
          <w:sz w:val="24"/>
          <w:szCs w:val="24"/>
        </w:rPr>
      </w:pPr>
      <w:r>
        <w:rPr>
          <w:rFonts w:ascii="Arial Narrow" w:hAnsi="Arial Narrow"/>
          <w:sz w:val="24"/>
          <w:szCs w:val="24"/>
        </w:rPr>
        <w:t>Justin</w:t>
      </w:r>
      <w:r w:rsidR="006B7041">
        <w:rPr>
          <w:rFonts w:ascii="Arial Narrow" w:hAnsi="Arial Narrow"/>
          <w:sz w:val="24"/>
          <w:szCs w:val="24"/>
        </w:rPr>
        <w:t xml:space="preserve"> Radl, Invenergy, will discuss a Fuel Switch Problem Statement</w:t>
      </w:r>
      <w:r w:rsidR="006F18EA">
        <w:rPr>
          <w:rFonts w:ascii="Arial Narrow" w:hAnsi="Arial Narrow"/>
          <w:sz w:val="24"/>
          <w:szCs w:val="24"/>
        </w:rPr>
        <w:t xml:space="preserve"> and </w:t>
      </w:r>
      <w:r w:rsidR="006B7041">
        <w:rPr>
          <w:rFonts w:ascii="Arial Narrow" w:hAnsi="Arial Narrow"/>
          <w:sz w:val="24"/>
          <w:szCs w:val="24"/>
        </w:rPr>
        <w:t xml:space="preserve">Issue Charge. </w:t>
      </w:r>
      <w:r w:rsidRPr="00F64959" w:rsidR="009005E8">
        <w:rPr>
          <w:rFonts w:ascii="Arial Narrow" w:hAnsi="Arial Narrow"/>
          <w:b/>
          <w:bCs/>
          <w:sz w:val="24"/>
          <w:szCs w:val="24"/>
        </w:rPr>
        <w:t xml:space="preserve">The committee will be asked to </w:t>
      </w:r>
      <w:r w:rsidR="009005E8">
        <w:rPr>
          <w:rFonts w:ascii="Arial Narrow" w:hAnsi="Arial Narrow"/>
          <w:b/>
          <w:bCs/>
          <w:sz w:val="24"/>
          <w:szCs w:val="24"/>
        </w:rPr>
        <w:t>approve</w:t>
      </w:r>
      <w:r w:rsidRPr="00F64959" w:rsidR="009005E8">
        <w:rPr>
          <w:rFonts w:ascii="Arial Narrow" w:hAnsi="Arial Narrow"/>
          <w:b/>
          <w:bCs/>
          <w:sz w:val="24"/>
          <w:szCs w:val="24"/>
        </w:rPr>
        <w:t xml:space="preserve"> the</w:t>
      </w:r>
      <w:r w:rsidR="009005E8">
        <w:rPr>
          <w:rFonts w:ascii="Arial Narrow" w:hAnsi="Arial Narrow"/>
          <w:b/>
          <w:bCs/>
          <w:sz w:val="24"/>
          <w:szCs w:val="24"/>
        </w:rPr>
        <w:t xml:space="preserve"> Issue Charge</w:t>
      </w:r>
      <w:r w:rsidRPr="00F64959" w:rsidR="009005E8">
        <w:rPr>
          <w:rFonts w:ascii="Arial Narrow" w:hAnsi="Arial Narrow"/>
          <w:b/>
          <w:bCs/>
          <w:sz w:val="24"/>
          <w:szCs w:val="24"/>
        </w:rPr>
        <w:t xml:space="preserve"> at </w:t>
      </w:r>
      <w:r w:rsidR="009005E8">
        <w:rPr>
          <w:rFonts w:ascii="Arial Narrow" w:hAnsi="Arial Narrow"/>
          <w:b/>
          <w:bCs/>
          <w:sz w:val="24"/>
          <w:szCs w:val="24"/>
        </w:rPr>
        <w:t>its next</w:t>
      </w:r>
      <w:r w:rsidRPr="00F64959" w:rsidR="009005E8">
        <w:rPr>
          <w:rFonts w:ascii="Arial Narrow" w:hAnsi="Arial Narrow"/>
          <w:b/>
          <w:bCs/>
          <w:sz w:val="24"/>
          <w:szCs w:val="24"/>
        </w:rPr>
        <w:t xml:space="preserve"> meeting.</w:t>
      </w:r>
    </w:p>
    <w:p w:rsidR="00E523A9" w:rsidRPr="00E523A9" w:rsidP="00E523A9" w14:paraId="4F99CD80" w14:textId="77777777">
      <w:pPr>
        <w:pStyle w:val="ListParagraph"/>
        <w:tabs>
          <w:tab w:val="left" w:pos="552"/>
          <w:tab w:val="left" w:pos="741"/>
          <w:tab w:val="left" w:pos="971"/>
        </w:tabs>
        <w:ind w:left="360"/>
        <w:rPr>
          <w:rFonts w:ascii="Arial Narrow" w:hAnsi="Arial Narrow"/>
          <w:sz w:val="24"/>
          <w:szCs w:val="24"/>
          <w:u w:val="single"/>
        </w:rPr>
      </w:pPr>
    </w:p>
    <w:p w:rsidR="00123307" w:rsidRPr="00123307" w:rsidP="00833DBD" w14:paraId="096C20AE" w14:textId="7A310514">
      <w:pPr>
        <w:pStyle w:val="PrimaryHeading"/>
        <w:spacing w:after="200"/>
      </w:pPr>
      <w:r w:rsidRPr="00123307">
        <w:t xml:space="preserve">Informational </w:t>
      </w:r>
      <w:r w:rsidR="0040688D">
        <w:t>Updates</w:t>
      </w:r>
      <w:r w:rsidR="000741DD">
        <w:t xml:space="preserve"> (</w:t>
      </w:r>
      <w:r w:rsidR="009E2480">
        <w:t>10:</w:t>
      </w:r>
      <w:r w:rsidR="009005E8">
        <w:t>3</w:t>
      </w:r>
      <w:r w:rsidR="001621B2">
        <w:t>0</w:t>
      </w:r>
      <w:r w:rsidR="00F45730">
        <w:t xml:space="preserve"> – 1</w:t>
      </w:r>
      <w:r w:rsidR="009005E8">
        <w:t>2</w:t>
      </w:r>
      <w:r w:rsidR="00F45730">
        <w:t>:</w:t>
      </w:r>
      <w:r w:rsidR="009005E8">
        <w:t>0</w:t>
      </w:r>
      <w:r w:rsidR="006B01C9">
        <w:t>0</w:t>
      </w:r>
      <w:r w:rsidR="000741DD">
        <w:t>)</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2CBEF79E" w14:textId="77777777" w:rsidTr="00383DE0">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296"/>
        </w:trPr>
        <w:tc>
          <w:tcPr>
            <w:tcW w:w="9360" w:type="dxa"/>
            <w:tcBorders>
              <w:bottom w:val="none" w:sz="0" w:space="0" w:color="auto"/>
            </w:tcBorders>
            <w:shd w:val="clear" w:color="auto" w:fill="auto"/>
          </w:tcPr>
          <w:p w:rsidR="002F052D" w:rsidRPr="002F052D" w:rsidP="00C82556" w14:paraId="1902CF0C" w14:textId="66C1EEF1">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bookmarkStart w:id="2" w:name="_Hlk204689844"/>
            <w:r w:rsidRPr="002F052D">
              <w:rPr>
                <w:rFonts w:ascii="Arial Narrow" w:hAnsi="Arial Narrow"/>
                <w:b w:val="0"/>
                <w:bCs w:val="0"/>
                <w:sz w:val="24"/>
                <w:szCs w:val="24"/>
                <w:u w:val="single"/>
              </w:rPr>
              <w:t>Manual 19 Revisions: Load Forecast Enhancements</w:t>
            </w:r>
          </w:p>
          <w:p w:rsidR="002F052D" w:rsidP="002F052D" w14:paraId="0A1A9CAC" w14:textId="77777777">
            <w:pPr>
              <w:pStyle w:val="ListParagraph"/>
              <w:tabs>
                <w:tab w:val="left" w:pos="552"/>
                <w:tab w:val="left" w:pos="741"/>
                <w:tab w:val="left" w:pos="971"/>
              </w:tabs>
              <w:ind w:left="241"/>
              <w:rPr>
                <w:rFonts w:ascii="Arial Narrow" w:hAnsi="Arial Narrow"/>
                <w:sz w:val="24"/>
                <w:szCs w:val="24"/>
                <w:u w:val="single"/>
              </w:rPr>
            </w:pPr>
          </w:p>
          <w:p w:rsidR="002F052D" w:rsidP="00697860" w14:paraId="32073345" w14:textId="0D62595C">
            <w:pPr>
              <w:pStyle w:val="ListParagraph"/>
              <w:tabs>
                <w:tab w:val="left" w:pos="552"/>
                <w:tab w:val="left" w:pos="741"/>
                <w:tab w:val="left" w:pos="971"/>
              </w:tabs>
              <w:ind w:left="241"/>
              <w:jc w:val="both"/>
              <w:rPr>
                <w:rFonts w:ascii="Arial Narrow" w:hAnsi="Arial Narrow"/>
                <w:sz w:val="24"/>
                <w:szCs w:val="24"/>
              </w:rPr>
            </w:pPr>
            <w:r w:rsidRPr="002F052D">
              <w:rPr>
                <w:rFonts w:ascii="Arial Narrow" w:hAnsi="Arial Narrow"/>
                <w:b w:val="0"/>
                <w:bCs w:val="0"/>
                <w:sz w:val="24"/>
                <w:szCs w:val="24"/>
              </w:rPr>
              <w:t xml:space="preserve">Andrew Gledhill, PJM, will provide an update on Manual 19: Load Forecasting and Analysis revisions. These revisions are regarding enhancements to the load forecast. </w:t>
            </w:r>
          </w:p>
          <w:p w:rsidR="002F052D" w:rsidRPr="002F052D" w:rsidP="002F052D" w14:paraId="67B8AF80" w14:textId="77777777">
            <w:pPr>
              <w:pStyle w:val="ListParagraph"/>
              <w:tabs>
                <w:tab w:val="left" w:pos="552"/>
                <w:tab w:val="left" w:pos="741"/>
                <w:tab w:val="left" w:pos="971"/>
              </w:tabs>
              <w:ind w:left="241"/>
              <w:rPr>
                <w:rFonts w:ascii="Arial Narrow" w:hAnsi="Arial Narrow"/>
                <w:sz w:val="24"/>
                <w:szCs w:val="24"/>
              </w:rPr>
            </w:pPr>
          </w:p>
          <w:p w:rsidR="00B334D4" w:rsidRPr="00B334D4" w:rsidP="00C82556" w14:paraId="142E5768" w14:textId="3B16770B">
            <w:pPr>
              <w:pStyle w:val="ListParagraph"/>
              <w:numPr>
                <w:ilvl w:val="0"/>
                <w:numId w:val="3"/>
              </w:numPr>
              <w:tabs>
                <w:tab w:val="left" w:pos="552"/>
                <w:tab w:val="left" w:pos="741"/>
                <w:tab w:val="left" w:pos="971"/>
              </w:tabs>
              <w:ind w:left="241"/>
              <w:rPr>
                <w:rFonts w:ascii="Arial Narrow" w:hAnsi="Arial Narrow"/>
                <w:sz w:val="24"/>
                <w:szCs w:val="24"/>
                <w:u w:val="single"/>
              </w:rPr>
            </w:pPr>
            <w:r w:rsidRPr="00B334D4">
              <w:rPr>
                <w:rFonts w:ascii="Arial Narrow" w:hAnsi="Arial Narrow"/>
                <w:b w:val="0"/>
                <w:bCs w:val="0"/>
                <w:sz w:val="24"/>
                <w:szCs w:val="24"/>
                <w:u w:val="single"/>
              </w:rPr>
              <w:t>FERC Order</w:t>
            </w:r>
            <w:r w:rsidR="00FB346B">
              <w:rPr>
                <w:rFonts w:ascii="Arial Narrow" w:hAnsi="Arial Narrow"/>
                <w:b w:val="0"/>
                <w:bCs w:val="0"/>
                <w:sz w:val="24"/>
                <w:szCs w:val="24"/>
                <w:u w:val="single"/>
              </w:rPr>
              <w:t xml:space="preserve"> Regarding Solution-Based DFAX Methodology</w:t>
            </w:r>
          </w:p>
          <w:p w:rsidR="00B334D4" w:rsidP="00B334D4" w14:paraId="50DBD9FE" w14:textId="77777777">
            <w:pPr>
              <w:pStyle w:val="ListParagraph"/>
              <w:tabs>
                <w:tab w:val="left" w:pos="552"/>
                <w:tab w:val="left" w:pos="741"/>
                <w:tab w:val="left" w:pos="971"/>
              </w:tabs>
              <w:ind w:left="241"/>
              <w:rPr>
                <w:rFonts w:ascii="Arial Narrow" w:hAnsi="Arial Narrow"/>
                <w:sz w:val="24"/>
                <w:szCs w:val="24"/>
              </w:rPr>
            </w:pPr>
          </w:p>
          <w:p w:rsidR="00B334D4" w:rsidRPr="00E523A9" w:rsidP="00E523A9" w14:paraId="3D8ED3AC" w14:textId="7EDD96F5">
            <w:pPr>
              <w:pStyle w:val="ListParagraph"/>
              <w:tabs>
                <w:tab w:val="left" w:pos="552"/>
                <w:tab w:val="left" w:pos="741"/>
                <w:tab w:val="left" w:pos="971"/>
              </w:tabs>
              <w:ind w:left="241"/>
              <w:jc w:val="both"/>
              <w:rPr>
                <w:rFonts w:ascii="Arial Narrow" w:hAnsi="Arial Narrow"/>
                <w:sz w:val="24"/>
                <w:szCs w:val="24"/>
              </w:rPr>
            </w:pPr>
            <w:r>
              <w:rPr>
                <w:rFonts w:ascii="Arial Narrow" w:hAnsi="Arial Narrow"/>
                <w:b w:val="0"/>
                <w:bCs w:val="0"/>
                <w:sz w:val="24"/>
                <w:szCs w:val="24"/>
              </w:rPr>
              <w:t xml:space="preserve">Jessica Lynch, PJM, will provide an </w:t>
            </w:r>
            <w:r w:rsidRPr="00697860" w:rsidR="00697860">
              <w:rPr>
                <w:rFonts w:ascii="Arial Narrow" w:hAnsi="Arial Narrow"/>
                <w:b w:val="0"/>
                <w:bCs w:val="0"/>
                <w:sz w:val="24"/>
                <w:szCs w:val="24"/>
              </w:rPr>
              <w:t>update regarding FERC’s March 6</w:t>
            </w:r>
            <w:r w:rsidRPr="00697860" w:rsidR="00697860">
              <w:rPr>
                <w:rFonts w:ascii="Arial Narrow" w:hAnsi="Arial Narrow"/>
                <w:b w:val="0"/>
                <w:bCs w:val="0"/>
                <w:sz w:val="24"/>
                <w:szCs w:val="24"/>
                <w:vertAlign w:val="superscript"/>
              </w:rPr>
              <w:t>th</w:t>
            </w:r>
            <w:r w:rsidRPr="00697860" w:rsidR="00697860">
              <w:rPr>
                <w:rFonts w:ascii="Arial Narrow" w:hAnsi="Arial Narrow"/>
                <w:b w:val="0"/>
                <w:bCs w:val="0"/>
                <w:sz w:val="24"/>
                <w:szCs w:val="24"/>
              </w:rPr>
              <w:t xml:space="preserve"> and April 29</w:t>
            </w:r>
            <w:r w:rsidRPr="00697860" w:rsidR="00697860">
              <w:rPr>
                <w:rFonts w:ascii="Arial Narrow" w:hAnsi="Arial Narrow"/>
                <w:b w:val="0"/>
                <w:bCs w:val="0"/>
                <w:sz w:val="24"/>
                <w:szCs w:val="24"/>
                <w:vertAlign w:val="superscript"/>
              </w:rPr>
              <w:t>th</w:t>
            </w:r>
            <w:r w:rsidR="00697860">
              <w:rPr>
                <w:rFonts w:ascii="Arial Narrow" w:hAnsi="Arial Narrow"/>
                <w:b w:val="0"/>
                <w:bCs w:val="0"/>
                <w:sz w:val="24"/>
                <w:szCs w:val="24"/>
              </w:rPr>
              <w:t xml:space="preserve"> </w:t>
            </w:r>
            <w:r w:rsidRPr="00697860" w:rsidR="00697860">
              <w:rPr>
                <w:rFonts w:ascii="Arial Narrow" w:hAnsi="Arial Narrow"/>
                <w:b w:val="0"/>
                <w:bCs w:val="0"/>
                <w:sz w:val="24"/>
                <w:szCs w:val="24"/>
              </w:rPr>
              <w:t>orders addressing the solution-based distribution factor methodology</w:t>
            </w:r>
            <w:r>
              <w:rPr>
                <w:rFonts w:ascii="Arial Narrow" w:hAnsi="Arial Narrow"/>
                <w:b w:val="0"/>
                <w:bCs w:val="0"/>
                <w:sz w:val="24"/>
                <w:szCs w:val="24"/>
              </w:rPr>
              <w:t xml:space="preserve">. </w:t>
            </w:r>
          </w:p>
          <w:p w:rsidR="00F64959" w:rsidRPr="00F64959" w:rsidP="00F64959" w14:paraId="7B33EE10" w14:textId="77777777">
            <w:pPr>
              <w:pStyle w:val="ListParagraph"/>
              <w:tabs>
                <w:tab w:val="left" w:pos="552"/>
                <w:tab w:val="left" w:pos="741"/>
                <w:tab w:val="left" w:pos="971"/>
              </w:tabs>
              <w:ind w:left="241"/>
              <w:rPr>
                <w:rFonts w:ascii="Arial Narrow" w:hAnsi="Arial Narrow"/>
                <w:sz w:val="24"/>
                <w:szCs w:val="24"/>
                <w:u w:val="single"/>
              </w:rPr>
            </w:pPr>
          </w:p>
          <w:p w:rsidR="00697860" w:rsidRPr="00697860" w:rsidP="00C82556" w14:paraId="58C10150" w14:textId="1B195D57">
            <w:pPr>
              <w:pStyle w:val="ListParagraph"/>
              <w:numPr>
                <w:ilvl w:val="0"/>
                <w:numId w:val="3"/>
              </w:numPr>
              <w:tabs>
                <w:tab w:val="left" w:pos="552"/>
                <w:tab w:val="left" w:pos="741"/>
                <w:tab w:val="left" w:pos="971"/>
              </w:tabs>
              <w:ind w:left="241"/>
              <w:rPr>
                <w:rFonts w:ascii="Arial Narrow" w:hAnsi="Arial Narrow"/>
                <w:b w:val="0"/>
                <w:bCs w:val="0"/>
                <w:sz w:val="24"/>
                <w:szCs w:val="24"/>
                <w:u w:val="single"/>
              </w:rPr>
            </w:pPr>
            <w:r w:rsidRPr="00697860">
              <w:rPr>
                <w:rFonts w:ascii="Arial Narrow" w:hAnsi="Arial Narrow"/>
                <w:b w:val="0"/>
                <w:bCs w:val="0"/>
                <w:sz w:val="24"/>
                <w:szCs w:val="24"/>
                <w:u w:val="single"/>
              </w:rPr>
              <w:t xml:space="preserve">NJ State Agreement Approach </w:t>
            </w:r>
            <w:r>
              <w:rPr>
                <w:rFonts w:ascii="Arial Narrow" w:hAnsi="Arial Narrow"/>
                <w:b w:val="0"/>
                <w:bCs w:val="0"/>
                <w:sz w:val="24"/>
                <w:szCs w:val="24"/>
                <w:u w:val="single"/>
              </w:rPr>
              <w:t>Update</w:t>
            </w:r>
          </w:p>
          <w:p w:rsidR="00697860" w:rsidP="00697860" w14:paraId="37534878" w14:textId="77777777">
            <w:pPr>
              <w:pStyle w:val="ListParagraph"/>
              <w:tabs>
                <w:tab w:val="left" w:pos="552"/>
                <w:tab w:val="left" w:pos="741"/>
                <w:tab w:val="left" w:pos="971"/>
              </w:tabs>
              <w:ind w:left="241"/>
              <w:rPr>
                <w:rFonts w:ascii="Arial Narrow" w:hAnsi="Arial Narrow"/>
                <w:sz w:val="24"/>
                <w:szCs w:val="24"/>
                <w:u w:val="single"/>
              </w:rPr>
            </w:pPr>
          </w:p>
          <w:p w:rsidR="00697860" w:rsidRPr="00697860" w:rsidP="00697860" w14:paraId="2C66696A" w14:textId="35CBC5A1">
            <w:pPr>
              <w:pStyle w:val="ListParagraph"/>
              <w:tabs>
                <w:tab w:val="left" w:pos="552"/>
                <w:tab w:val="left" w:pos="741"/>
                <w:tab w:val="left" w:pos="971"/>
              </w:tabs>
              <w:ind w:left="241"/>
              <w:jc w:val="both"/>
              <w:rPr>
                <w:rFonts w:ascii="Arial Narrow" w:hAnsi="Arial Narrow"/>
                <w:b w:val="0"/>
                <w:bCs w:val="0"/>
                <w:sz w:val="24"/>
                <w:szCs w:val="24"/>
              </w:rPr>
            </w:pPr>
            <w:r>
              <w:rPr>
                <w:rFonts w:ascii="Arial Narrow" w:hAnsi="Arial Narrow"/>
                <w:b w:val="0"/>
                <w:bCs w:val="0"/>
                <w:sz w:val="24"/>
                <w:szCs w:val="24"/>
              </w:rPr>
              <w:t xml:space="preserve">Susan McGill, PJM, </w:t>
            </w:r>
            <w:r w:rsidRPr="00697860">
              <w:rPr>
                <w:rFonts w:ascii="Arial Narrow" w:hAnsi="Arial Narrow"/>
                <w:b w:val="0"/>
                <w:bCs w:val="0"/>
                <w:sz w:val="24"/>
                <w:szCs w:val="24"/>
              </w:rPr>
              <w:t>will provide an update regarding the Mutual Termination Agreement between PJM and the NJ Board of Public Utilities regarding the NJ State Agreement Approach projects</w:t>
            </w:r>
            <w:r>
              <w:rPr>
                <w:rFonts w:ascii="Arial Narrow" w:hAnsi="Arial Narrow"/>
                <w:b w:val="0"/>
                <w:bCs w:val="0"/>
                <w:sz w:val="24"/>
                <w:szCs w:val="24"/>
              </w:rPr>
              <w:t>.</w:t>
            </w:r>
          </w:p>
          <w:p w:rsidR="00697860" w:rsidRPr="00697860" w:rsidP="00697860" w14:paraId="035AD34E" w14:textId="77777777">
            <w:pPr>
              <w:pStyle w:val="ListParagraph"/>
              <w:tabs>
                <w:tab w:val="left" w:pos="552"/>
                <w:tab w:val="left" w:pos="741"/>
                <w:tab w:val="left" w:pos="971"/>
              </w:tabs>
              <w:ind w:left="241"/>
              <w:rPr>
                <w:rFonts w:ascii="Arial Narrow" w:hAnsi="Arial Narrow"/>
                <w:b w:val="0"/>
                <w:bCs w:val="0"/>
                <w:sz w:val="24"/>
                <w:szCs w:val="24"/>
                <w:u w:val="single"/>
              </w:rPr>
            </w:pPr>
          </w:p>
          <w:p w:rsidR="00161D30" w:rsidRPr="003F3D61" w:rsidP="00C82556" w14:paraId="1240D26D" w14:textId="67E1B3F1">
            <w:pPr>
              <w:pStyle w:val="ListParagraph"/>
              <w:numPr>
                <w:ilvl w:val="0"/>
                <w:numId w:val="3"/>
              </w:numPr>
              <w:tabs>
                <w:tab w:val="left" w:pos="552"/>
                <w:tab w:val="left" w:pos="741"/>
                <w:tab w:val="left" w:pos="971"/>
              </w:tabs>
              <w:ind w:left="241"/>
              <w:rPr>
                <w:rFonts w:ascii="Arial Narrow" w:hAnsi="Arial Narrow"/>
                <w:sz w:val="24"/>
                <w:szCs w:val="24"/>
                <w:u w:val="single"/>
              </w:rPr>
            </w:pPr>
            <w:r>
              <w:rPr>
                <w:rFonts w:ascii="Arial Narrow" w:hAnsi="Arial Narrow"/>
                <w:b w:val="0"/>
                <w:sz w:val="24"/>
                <w:szCs w:val="24"/>
                <w:u w:val="single"/>
              </w:rPr>
              <w:t>Reliability Compliance Update</w:t>
            </w:r>
          </w:p>
          <w:p w:rsidR="003F3D61" w:rsidRPr="003F3D61" w:rsidP="003F3D61" w14:paraId="5BD567C1" w14:textId="77777777">
            <w:pPr>
              <w:pStyle w:val="ListParagraph"/>
              <w:tabs>
                <w:tab w:val="left" w:pos="552"/>
                <w:tab w:val="left" w:pos="741"/>
                <w:tab w:val="left" w:pos="971"/>
              </w:tabs>
              <w:ind w:left="241"/>
              <w:rPr>
                <w:rFonts w:ascii="Arial Narrow" w:hAnsi="Arial Narrow"/>
                <w:sz w:val="24"/>
                <w:szCs w:val="24"/>
                <w:u w:val="single"/>
              </w:rPr>
            </w:pPr>
          </w:p>
          <w:p w:rsidR="00771682" w:rsidRPr="006610D9" w:rsidP="006610D9" w14:paraId="24FA2DE2" w14:textId="77777777">
            <w:pPr>
              <w:tabs>
                <w:tab w:val="left" w:pos="552"/>
                <w:tab w:val="left" w:pos="741"/>
                <w:tab w:val="left" w:pos="971"/>
              </w:tabs>
              <w:ind w:left="241"/>
              <w:jc w:val="both"/>
              <w:rPr>
                <w:rFonts w:ascii="Arial Narrow" w:hAnsi="Arial Narrow"/>
                <w:sz w:val="24"/>
                <w:szCs w:val="24"/>
              </w:rPr>
            </w:pPr>
            <w:r>
              <w:rPr>
                <w:rFonts w:ascii="Arial Narrow" w:hAnsi="Arial Narrow"/>
                <w:b w:val="0"/>
                <w:sz w:val="24"/>
                <w:szCs w:val="24"/>
              </w:rPr>
              <w:t>Gizella Mali</w:t>
            </w:r>
            <w:r w:rsidR="002454BA">
              <w:rPr>
                <w:rFonts w:ascii="Arial Narrow" w:hAnsi="Arial Narrow"/>
                <w:b w:val="0"/>
                <w:sz w:val="24"/>
                <w:szCs w:val="24"/>
              </w:rPr>
              <w:t xml:space="preserve">, PJM, will provide an update on the activities, issues, and items of interest at NERC, SERC, and RF. </w:t>
            </w:r>
            <w:r w:rsidR="003E4E98">
              <w:rPr>
                <w:rFonts w:ascii="Arial Narrow" w:hAnsi="Arial Narrow"/>
                <w:b w:val="0"/>
                <w:sz w:val="24"/>
                <w:szCs w:val="24"/>
              </w:rPr>
              <w:t xml:space="preserve"> </w:t>
            </w:r>
            <w:bookmarkEnd w:id="2"/>
          </w:p>
        </w:tc>
      </w:tr>
      <w:tr w14:paraId="6305F3C5"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7E4401" w:rsidP="00860F1E" w14:paraId="352E2AF0" w14:textId="77777777">
            <w:pPr>
              <w:pStyle w:val="SecondaryHeading-Numbered"/>
              <w:numPr>
                <w:ilvl w:val="0"/>
                <w:numId w:val="0"/>
              </w:numPr>
              <w:rPr>
                <w:noProof/>
              </w:rPr>
            </w:pPr>
          </w:p>
          <w:p w:rsidR="007E4401" w:rsidRPr="00860F1E" w:rsidP="00860F1E" w14:paraId="4731F80D" w14:textId="77777777">
            <w:pPr>
              <w:pStyle w:val="SecondaryHeading-Numbered"/>
              <w:numPr>
                <w:ilvl w:val="0"/>
                <w:numId w:val="0"/>
              </w:numPr>
              <w:rPr>
                <w:noProof/>
              </w:rPr>
            </w:pPr>
          </w:p>
        </w:tc>
      </w:tr>
      <w:tr w14:paraId="387949BE" w14:textId="77777777" w:rsidTr="00383DE0">
        <w:tblPrEx>
          <w:tblW w:w="0" w:type="auto"/>
          <w:tblLayout w:type="fixed"/>
          <w:tblCellMar>
            <w:top w:w="43" w:type="dxa"/>
            <w:left w:w="115" w:type="dxa"/>
            <w:right w:w="115" w:type="dxa"/>
          </w:tblCellMar>
          <w:tblLook w:val="04A0"/>
        </w:tblPrEx>
        <w:trPr>
          <w:trHeight w:val="296"/>
        </w:trPr>
        <w:tc>
          <w:tcPr>
            <w:tcW w:w="9360" w:type="dxa"/>
          </w:tcPr>
          <w:p w:rsidR="004D0B3C" w:rsidRPr="00C90596" w:rsidP="00C90596" w14:paraId="7665BFBA" w14:textId="77777777">
            <w:pPr>
              <w:pStyle w:val="PrimaryHeading"/>
              <w:spacing w:after="200"/>
              <w:ind w:right="-117"/>
            </w:pPr>
            <w:r w:rsidRPr="00860F1E">
              <w:rPr>
                <w:b/>
              </w:rPr>
              <w:t>Informational Posting</w:t>
            </w:r>
            <w:r>
              <w:rPr>
                <w:b/>
              </w:rPr>
              <w:t xml:space="preserve"> </w:t>
            </w:r>
          </w:p>
        </w:tc>
      </w:tr>
      <w:tr w14:paraId="3D627E60" w14:textId="77777777" w:rsidTr="00383DE0">
        <w:tblPrEx>
          <w:tblW w:w="0" w:type="auto"/>
          <w:tblLayout w:type="fixed"/>
          <w:tblCellMar>
            <w:top w:w="43" w:type="dxa"/>
            <w:left w:w="115" w:type="dxa"/>
            <w:right w:w="115" w:type="dxa"/>
          </w:tblCellMar>
          <w:tblLook w:val="04A0"/>
        </w:tblPrEx>
        <w:trPr>
          <w:trHeight w:val="296"/>
        </w:trPr>
        <w:tc>
          <w:tcPr>
            <w:tcW w:w="9360" w:type="dxa"/>
            <w:shd w:val="clear" w:color="auto" w:fill="auto"/>
          </w:tcPr>
          <w:p w:rsidR="00AD3FE5" w:rsidRPr="00144927" w:rsidP="004D599E" w14:paraId="30A15C53" w14:textId="75C6187C">
            <w:pPr>
              <w:pStyle w:val="AttendeesList"/>
              <w:numPr>
                <w:ilvl w:val="0"/>
                <w:numId w:val="7"/>
              </w:numPr>
              <w:rPr>
                <w:sz w:val="24"/>
                <w:szCs w:val="24"/>
              </w:rPr>
            </w:pPr>
            <w:r w:rsidRPr="00144927">
              <w:rPr>
                <w:b w:val="0"/>
                <w:sz w:val="24"/>
                <w:szCs w:val="24"/>
                <w:u w:val="single"/>
              </w:rPr>
              <w:t xml:space="preserve">Model Build Activity </w:t>
            </w:r>
            <w:r w:rsidRPr="00144927" w:rsidR="00C90596">
              <w:rPr>
                <w:b w:val="0"/>
                <w:sz w:val="24"/>
                <w:szCs w:val="24"/>
                <w:u w:val="single"/>
              </w:rPr>
              <w:t>Update</w:t>
            </w:r>
            <w:r w:rsidRPr="00144927" w:rsidR="00161D30">
              <w:rPr>
                <w:b w:val="0"/>
                <w:sz w:val="24"/>
                <w:szCs w:val="24"/>
              </w:rPr>
              <w:t xml:space="preserve">     </w:t>
            </w:r>
          </w:p>
          <w:p w:rsidR="0017768A" w:rsidRPr="004D599E" w:rsidP="0017768A" w14:paraId="395FB9BD" w14:textId="77777777">
            <w:pPr>
              <w:pStyle w:val="unorderedlist"/>
              <w:rPr>
                <w:sz w:val="24"/>
                <w:szCs w:val="24"/>
              </w:rPr>
            </w:pPr>
            <w:r w:rsidRPr="004D599E">
              <w:rPr>
                <w:b w:val="0"/>
                <w:bCs w:val="0"/>
                <w:sz w:val="24"/>
                <w:szCs w:val="24"/>
              </w:rPr>
              <w:t>RTEP</w:t>
            </w:r>
          </w:p>
          <w:p w:rsidR="0017768A" w:rsidRPr="004D599E" w:rsidP="0017768A" w14:paraId="28655C7B" w14:textId="77777777">
            <w:pPr>
              <w:pStyle w:val="unorderedlist"/>
              <w:numPr>
                <w:ilvl w:val="1"/>
                <w:numId w:val="6"/>
              </w:numPr>
              <w:rPr>
                <w:sz w:val="24"/>
                <w:szCs w:val="24"/>
              </w:rPr>
            </w:pPr>
            <w:r w:rsidRPr="004D599E">
              <w:rPr>
                <w:b w:val="0"/>
                <w:bCs w:val="0"/>
                <w:sz w:val="24"/>
                <w:szCs w:val="24"/>
              </w:rPr>
              <w:t>2026 Series Load Flow</w:t>
            </w:r>
          </w:p>
          <w:p w:rsidR="006C51A6" w:rsidRPr="004D599E" w:rsidP="0017768A" w14:paraId="5399A5D6" w14:textId="4A449925">
            <w:pPr>
              <w:pStyle w:val="unorderedlist"/>
              <w:numPr>
                <w:ilvl w:val="2"/>
                <w:numId w:val="6"/>
              </w:numPr>
              <w:rPr>
                <w:sz w:val="24"/>
                <w:szCs w:val="24"/>
              </w:rPr>
            </w:pPr>
            <w:r w:rsidRPr="004D599E">
              <w:rPr>
                <w:b w:val="0"/>
                <w:bCs w:val="0"/>
                <w:sz w:val="24"/>
                <w:szCs w:val="24"/>
              </w:rPr>
              <w:t>PJM’s</w:t>
            </w:r>
            <w:r w:rsidR="00586CF2">
              <w:rPr>
                <w:b w:val="0"/>
                <w:bCs w:val="0"/>
                <w:sz w:val="24"/>
                <w:szCs w:val="24"/>
              </w:rPr>
              <w:t xml:space="preserve"> </w:t>
            </w:r>
            <w:r w:rsidRPr="004D599E">
              <w:rPr>
                <w:b w:val="0"/>
                <w:bCs w:val="0"/>
                <w:sz w:val="24"/>
                <w:szCs w:val="24"/>
              </w:rPr>
              <w:t>Transmission Planning department</w:t>
            </w:r>
            <w:r w:rsidR="00586CF2">
              <w:rPr>
                <w:b w:val="0"/>
                <w:bCs w:val="0"/>
                <w:sz w:val="24"/>
                <w:szCs w:val="24"/>
              </w:rPr>
              <w:t xml:space="preserve"> is currently </w:t>
            </w:r>
            <w:r w:rsidRPr="004D599E" w:rsidR="00DF6569">
              <w:rPr>
                <w:b w:val="0"/>
                <w:bCs w:val="0"/>
                <w:sz w:val="24"/>
                <w:szCs w:val="24"/>
              </w:rPr>
              <w:t>reviewing</w:t>
            </w:r>
            <w:r w:rsidRPr="004D599E">
              <w:rPr>
                <w:b w:val="0"/>
                <w:bCs w:val="0"/>
                <w:sz w:val="24"/>
                <w:szCs w:val="24"/>
              </w:rPr>
              <w:t xml:space="preserve"> the RTEP cases. </w:t>
            </w:r>
          </w:p>
          <w:p w:rsidR="0017768A" w:rsidRPr="004D599E" w:rsidP="0017768A" w14:paraId="487BE3B3" w14:textId="77777777">
            <w:pPr>
              <w:pStyle w:val="unorderedlist"/>
              <w:numPr>
                <w:ilvl w:val="1"/>
                <w:numId w:val="6"/>
              </w:numPr>
              <w:rPr>
                <w:sz w:val="24"/>
                <w:szCs w:val="24"/>
              </w:rPr>
            </w:pPr>
            <w:r w:rsidRPr="004D599E">
              <w:rPr>
                <w:b w:val="0"/>
                <w:bCs w:val="0"/>
                <w:sz w:val="24"/>
                <w:szCs w:val="24"/>
              </w:rPr>
              <w:t>2026 Series Short Circuit</w:t>
            </w:r>
          </w:p>
          <w:p w:rsidR="006C51A6" w:rsidRPr="004D599E" w:rsidP="0017768A" w14:paraId="090DB5C7" w14:textId="0B7C9F1F">
            <w:pPr>
              <w:pStyle w:val="unorderedlist"/>
              <w:numPr>
                <w:ilvl w:val="2"/>
                <w:numId w:val="6"/>
              </w:numPr>
              <w:rPr>
                <w:sz w:val="24"/>
                <w:szCs w:val="24"/>
              </w:rPr>
            </w:pPr>
            <w:r w:rsidRPr="004D599E">
              <w:rPr>
                <w:b w:val="0"/>
                <w:bCs w:val="0"/>
                <w:sz w:val="24"/>
                <w:szCs w:val="24"/>
              </w:rPr>
              <w:t>PJM’s Transmission Modeling department provide</w:t>
            </w:r>
            <w:r w:rsidR="00B11732">
              <w:rPr>
                <w:b w:val="0"/>
                <w:bCs w:val="0"/>
                <w:sz w:val="24"/>
                <w:szCs w:val="24"/>
              </w:rPr>
              <w:t>d</w:t>
            </w:r>
            <w:r w:rsidRPr="004D599E">
              <w:rPr>
                <w:b w:val="0"/>
                <w:bCs w:val="0"/>
                <w:sz w:val="24"/>
                <w:szCs w:val="24"/>
              </w:rPr>
              <w:t xml:space="preserve"> 5-year case to PJM’s Transmission Planning department </w:t>
            </w:r>
            <w:r w:rsidR="00B11732">
              <w:rPr>
                <w:b w:val="0"/>
                <w:bCs w:val="0"/>
                <w:sz w:val="24"/>
                <w:szCs w:val="24"/>
              </w:rPr>
              <w:t>on</w:t>
            </w:r>
            <w:r w:rsidRPr="004D599E">
              <w:rPr>
                <w:b w:val="0"/>
                <w:bCs w:val="0"/>
                <w:sz w:val="24"/>
                <w:szCs w:val="24"/>
              </w:rPr>
              <w:t xml:space="preserve"> April 17</w:t>
            </w:r>
            <w:r w:rsidRPr="004D599E">
              <w:rPr>
                <w:b w:val="0"/>
                <w:bCs w:val="0"/>
                <w:sz w:val="24"/>
                <w:szCs w:val="24"/>
                <w:vertAlign w:val="superscript"/>
              </w:rPr>
              <w:t>th</w:t>
            </w:r>
            <w:r w:rsidRPr="004D599E">
              <w:rPr>
                <w:b w:val="0"/>
                <w:bCs w:val="0"/>
                <w:sz w:val="24"/>
                <w:szCs w:val="24"/>
              </w:rPr>
              <w:t xml:space="preserve">. </w:t>
            </w:r>
            <w:r w:rsidRPr="004D599E" w:rsidR="007C7926">
              <w:rPr>
                <w:b w:val="0"/>
                <w:bCs w:val="0"/>
                <w:sz w:val="24"/>
                <w:szCs w:val="24"/>
                <w:vertAlign w:val="superscript"/>
              </w:rPr>
              <w:t xml:space="preserve"> </w:t>
            </w:r>
          </w:p>
          <w:p w:rsidR="00FA78E0" w:rsidRPr="004D599E" w:rsidP="00FA78E0" w14:paraId="6E034365" w14:textId="6B5AD3B9">
            <w:pPr>
              <w:pStyle w:val="unorderedlist"/>
              <w:numPr>
                <w:ilvl w:val="1"/>
                <w:numId w:val="6"/>
              </w:numPr>
              <w:rPr>
                <w:sz w:val="24"/>
                <w:szCs w:val="24"/>
              </w:rPr>
            </w:pPr>
            <w:r>
              <w:rPr>
                <w:b w:val="0"/>
                <w:bCs w:val="0"/>
                <w:sz w:val="24"/>
                <w:szCs w:val="24"/>
              </w:rPr>
              <w:t>2026 Series Dynamics</w:t>
            </w:r>
          </w:p>
          <w:p w:rsidR="00FA78E0" w:rsidRPr="004D599E" w:rsidP="00FA78E0" w14:paraId="0E3D6B10" w14:textId="78E38389">
            <w:pPr>
              <w:pStyle w:val="unorderedlist"/>
              <w:numPr>
                <w:ilvl w:val="2"/>
                <w:numId w:val="6"/>
              </w:numPr>
              <w:rPr>
                <w:sz w:val="24"/>
                <w:szCs w:val="24"/>
              </w:rPr>
            </w:pPr>
            <w:r w:rsidRPr="004D599E">
              <w:rPr>
                <w:b w:val="0"/>
                <w:bCs w:val="0"/>
                <w:sz w:val="24"/>
                <w:szCs w:val="24"/>
              </w:rPr>
              <w:t xml:space="preserve">PJM </w:t>
            </w:r>
            <w:r w:rsidR="00A14DFB">
              <w:rPr>
                <w:b w:val="0"/>
                <w:bCs w:val="0"/>
                <w:sz w:val="24"/>
                <w:szCs w:val="24"/>
              </w:rPr>
              <w:t xml:space="preserve">is collecting dynamics updates for queue projects, i/s generation, and MOD-026-027 information </w:t>
            </w:r>
          </w:p>
          <w:p w:rsidR="00B11732" w:rsidRPr="00B11732" w:rsidP="0017768A" w14:paraId="6ED9688F" w14:textId="3F6C4F12">
            <w:pPr>
              <w:pStyle w:val="unorderedlist"/>
              <w:rPr>
                <w:b w:val="0"/>
                <w:bCs w:val="0"/>
                <w:sz w:val="24"/>
                <w:szCs w:val="24"/>
              </w:rPr>
            </w:pPr>
            <w:r w:rsidRPr="00B11732">
              <w:rPr>
                <w:b w:val="0"/>
                <w:bCs w:val="0"/>
                <w:sz w:val="24"/>
                <w:szCs w:val="24"/>
              </w:rPr>
              <w:t>RPM</w:t>
            </w:r>
          </w:p>
          <w:p w:rsidR="00B11732" w:rsidP="00B11732" w14:paraId="72A9B51D" w14:textId="5A381D53">
            <w:pPr>
              <w:pStyle w:val="unorderedlist"/>
              <w:numPr>
                <w:ilvl w:val="1"/>
                <w:numId w:val="6"/>
              </w:numPr>
              <w:rPr>
                <w:sz w:val="24"/>
                <w:szCs w:val="24"/>
              </w:rPr>
            </w:pPr>
            <w:r>
              <w:rPr>
                <w:b w:val="0"/>
                <w:bCs w:val="0"/>
                <w:sz w:val="24"/>
                <w:szCs w:val="24"/>
              </w:rPr>
              <w:t>PJM requested Trial 1 feedback on April 22</w:t>
            </w:r>
            <w:r w:rsidRPr="00B11732">
              <w:rPr>
                <w:b w:val="0"/>
                <w:bCs w:val="0"/>
                <w:sz w:val="24"/>
                <w:szCs w:val="24"/>
                <w:vertAlign w:val="superscript"/>
              </w:rPr>
              <w:t>nd</w:t>
            </w:r>
            <w:r>
              <w:rPr>
                <w:b w:val="0"/>
                <w:bCs w:val="0"/>
                <w:sz w:val="24"/>
                <w:szCs w:val="24"/>
              </w:rPr>
              <w:t xml:space="preserve">. </w:t>
            </w:r>
          </w:p>
          <w:p w:rsidR="00B11732" w:rsidP="00B11732" w14:paraId="1BD27EE3" w14:textId="39EC3AA9">
            <w:pPr>
              <w:pStyle w:val="unorderedlist"/>
              <w:numPr>
                <w:ilvl w:val="1"/>
                <w:numId w:val="6"/>
              </w:numPr>
              <w:rPr>
                <w:sz w:val="24"/>
                <w:szCs w:val="24"/>
              </w:rPr>
            </w:pPr>
            <w:r>
              <w:rPr>
                <w:b w:val="0"/>
                <w:bCs w:val="0"/>
                <w:sz w:val="24"/>
                <w:szCs w:val="24"/>
              </w:rPr>
              <w:t>TOs to submit Trial 1 feedback by May 8</w:t>
            </w:r>
            <w:r w:rsidRPr="00B11732">
              <w:rPr>
                <w:b w:val="0"/>
                <w:bCs w:val="0"/>
                <w:sz w:val="24"/>
                <w:szCs w:val="24"/>
                <w:vertAlign w:val="superscript"/>
              </w:rPr>
              <w:t>th</w:t>
            </w:r>
            <w:r>
              <w:rPr>
                <w:b w:val="0"/>
                <w:bCs w:val="0"/>
                <w:sz w:val="24"/>
                <w:szCs w:val="24"/>
              </w:rPr>
              <w:t xml:space="preserve">. </w:t>
            </w:r>
          </w:p>
          <w:p w:rsidR="00B11732" w:rsidP="00B11732" w14:paraId="468C7965" w14:textId="0614E64E">
            <w:pPr>
              <w:pStyle w:val="unorderedlist"/>
              <w:numPr>
                <w:ilvl w:val="1"/>
                <w:numId w:val="6"/>
              </w:numPr>
              <w:rPr>
                <w:sz w:val="24"/>
                <w:szCs w:val="24"/>
              </w:rPr>
            </w:pPr>
            <w:r>
              <w:rPr>
                <w:b w:val="0"/>
                <w:bCs w:val="0"/>
                <w:sz w:val="24"/>
                <w:szCs w:val="24"/>
              </w:rPr>
              <w:t>PJM to request Trial 2 feedback by May 15</w:t>
            </w:r>
            <w:r w:rsidRPr="00B11732">
              <w:rPr>
                <w:b w:val="0"/>
                <w:bCs w:val="0"/>
                <w:sz w:val="24"/>
                <w:szCs w:val="24"/>
                <w:vertAlign w:val="superscript"/>
              </w:rPr>
              <w:t>th</w:t>
            </w:r>
            <w:r>
              <w:rPr>
                <w:b w:val="0"/>
                <w:bCs w:val="0"/>
                <w:sz w:val="24"/>
                <w:szCs w:val="24"/>
              </w:rPr>
              <w:t xml:space="preserve">. </w:t>
            </w:r>
          </w:p>
          <w:p w:rsidR="00B11732" w:rsidRPr="00B11732" w:rsidP="00B11732" w14:paraId="60A881F5" w14:textId="2AA85DAD">
            <w:pPr>
              <w:pStyle w:val="unorderedlist"/>
              <w:numPr>
                <w:ilvl w:val="1"/>
                <w:numId w:val="6"/>
              </w:numPr>
              <w:rPr>
                <w:sz w:val="24"/>
                <w:szCs w:val="24"/>
              </w:rPr>
            </w:pPr>
            <w:r>
              <w:rPr>
                <w:b w:val="0"/>
                <w:bCs w:val="0"/>
                <w:sz w:val="24"/>
                <w:szCs w:val="24"/>
              </w:rPr>
              <w:t>TOs to submit Trial 2 feedback by May 29</w:t>
            </w:r>
            <w:r w:rsidRPr="00B11732">
              <w:rPr>
                <w:b w:val="0"/>
                <w:bCs w:val="0"/>
                <w:sz w:val="24"/>
                <w:szCs w:val="24"/>
                <w:vertAlign w:val="superscript"/>
              </w:rPr>
              <w:t>th</w:t>
            </w:r>
            <w:r>
              <w:rPr>
                <w:b w:val="0"/>
                <w:bCs w:val="0"/>
                <w:sz w:val="24"/>
                <w:szCs w:val="24"/>
              </w:rPr>
              <w:t xml:space="preserve">. </w:t>
            </w:r>
          </w:p>
          <w:p w:rsidR="0017768A" w:rsidRPr="004D599E" w:rsidP="0017768A" w14:paraId="6540F18B" w14:textId="6B45C668">
            <w:pPr>
              <w:pStyle w:val="unorderedlist"/>
              <w:rPr>
                <w:sz w:val="24"/>
                <w:szCs w:val="24"/>
              </w:rPr>
            </w:pPr>
            <w:r w:rsidRPr="004D599E">
              <w:rPr>
                <w:b w:val="0"/>
                <w:bCs w:val="0"/>
                <w:sz w:val="24"/>
                <w:szCs w:val="24"/>
              </w:rPr>
              <w:t>MMWG</w:t>
            </w:r>
          </w:p>
          <w:p w:rsidR="0017768A" w:rsidRPr="004D599E" w:rsidP="0017768A" w14:paraId="077F4C33" w14:textId="77777777">
            <w:pPr>
              <w:pStyle w:val="unorderedlist"/>
              <w:numPr>
                <w:ilvl w:val="1"/>
                <w:numId w:val="6"/>
              </w:numPr>
              <w:rPr>
                <w:sz w:val="24"/>
                <w:szCs w:val="24"/>
              </w:rPr>
            </w:pPr>
            <w:r w:rsidRPr="004D599E">
              <w:rPr>
                <w:b w:val="0"/>
                <w:bCs w:val="0"/>
                <w:sz w:val="24"/>
                <w:szCs w:val="24"/>
              </w:rPr>
              <w:t>2025 Series Dynamics</w:t>
            </w:r>
          </w:p>
          <w:p w:rsidR="00FA78E0" w:rsidP="0017768A" w14:paraId="0695B2CD" w14:textId="5FEB91D0">
            <w:pPr>
              <w:pStyle w:val="unorderedlist"/>
              <w:numPr>
                <w:ilvl w:val="2"/>
                <w:numId w:val="6"/>
              </w:numPr>
              <w:jc w:val="both"/>
              <w:rPr>
                <w:sz w:val="24"/>
                <w:szCs w:val="24"/>
              </w:rPr>
            </w:pPr>
            <w:r w:rsidRPr="004D599E">
              <w:rPr>
                <w:b w:val="0"/>
                <w:bCs w:val="0"/>
                <w:sz w:val="24"/>
                <w:szCs w:val="24"/>
              </w:rPr>
              <w:t>PowerTech finalize</w:t>
            </w:r>
            <w:r w:rsidR="00B11732">
              <w:rPr>
                <w:b w:val="0"/>
                <w:bCs w:val="0"/>
                <w:sz w:val="24"/>
                <w:szCs w:val="24"/>
              </w:rPr>
              <w:t>d</w:t>
            </w:r>
            <w:r w:rsidRPr="004D599E">
              <w:rPr>
                <w:b w:val="0"/>
                <w:bCs w:val="0"/>
                <w:sz w:val="24"/>
                <w:szCs w:val="24"/>
              </w:rPr>
              <w:t xml:space="preserve"> the 2025 Series MMWG dynamics cases </w:t>
            </w:r>
            <w:r w:rsidR="00B11732">
              <w:rPr>
                <w:b w:val="0"/>
                <w:bCs w:val="0"/>
                <w:sz w:val="24"/>
                <w:szCs w:val="24"/>
              </w:rPr>
              <w:t>on April 23</w:t>
            </w:r>
            <w:r w:rsidRPr="00B11732" w:rsidR="00B11732">
              <w:rPr>
                <w:b w:val="0"/>
                <w:bCs w:val="0"/>
                <w:sz w:val="24"/>
                <w:szCs w:val="24"/>
                <w:vertAlign w:val="superscript"/>
              </w:rPr>
              <w:t>rd</w:t>
            </w:r>
            <w:r w:rsidR="00B11732">
              <w:rPr>
                <w:b w:val="0"/>
                <w:bCs w:val="0"/>
                <w:sz w:val="24"/>
                <w:szCs w:val="24"/>
              </w:rPr>
              <w:t xml:space="preserve">. </w:t>
            </w:r>
            <w:r w:rsidRPr="004D599E">
              <w:rPr>
                <w:b w:val="0"/>
                <w:bCs w:val="0"/>
                <w:sz w:val="24"/>
                <w:szCs w:val="24"/>
              </w:rPr>
              <w:t xml:space="preserve"> </w:t>
            </w:r>
          </w:p>
          <w:p w:rsidR="00586CF2" w:rsidRPr="00586CF2" w:rsidP="00586CF2" w14:paraId="4AC5C919" w14:textId="630C210D">
            <w:pPr>
              <w:pStyle w:val="unorderedlist"/>
              <w:numPr>
                <w:ilvl w:val="1"/>
                <w:numId w:val="6"/>
              </w:numPr>
              <w:jc w:val="both"/>
              <w:rPr>
                <w:sz w:val="24"/>
                <w:szCs w:val="24"/>
              </w:rPr>
            </w:pPr>
            <w:r>
              <w:rPr>
                <w:b w:val="0"/>
                <w:sz w:val="24"/>
                <w:szCs w:val="24"/>
              </w:rPr>
              <w:t>2026 Series Power Flow</w:t>
            </w:r>
          </w:p>
          <w:p w:rsidR="00586CF2" w:rsidRPr="004D599E" w:rsidP="00586CF2" w14:paraId="221EE8EE" w14:textId="7173E18B">
            <w:pPr>
              <w:pStyle w:val="unorderedlist"/>
              <w:numPr>
                <w:ilvl w:val="2"/>
                <w:numId w:val="6"/>
              </w:numPr>
              <w:jc w:val="both"/>
              <w:rPr>
                <w:sz w:val="24"/>
                <w:szCs w:val="24"/>
              </w:rPr>
            </w:pPr>
            <w:r w:rsidRPr="004D599E">
              <w:rPr>
                <w:b w:val="0"/>
                <w:bCs w:val="0"/>
                <w:sz w:val="24"/>
                <w:szCs w:val="24"/>
              </w:rPr>
              <w:t xml:space="preserve">PJM </w:t>
            </w:r>
            <w:r>
              <w:rPr>
                <w:b w:val="0"/>
                <w:bCs w:val="0"/>
                <w:sz w:val="24"/>
                <w:szCs w:val="24"/>
              </w:rPr>
              <w:t>requested initial feedback on April 22</w:t>
            </w:r>
            <w:r w:rsidRPr="00586CF2">
              <w:rPr>
                <w:b w:val="0"/>
                <w:bCs w:val="0"/>
                <w:sz w:val="24"/>
                <w:szCs w:val="24"/>
                <w:vertAlign w:val="superscript"/>
              </w:rPr>
              <w:t>nd</w:t>
            </w:r>
            <w:r>
              <w:rPr>
                <w:b w:val="0"/>
                <w:bCs w:val="0"/>
                <w:sz w:val="24"/>
                <w:szCs w:val="24"/>
              </w:rPr>
              <w:t xml:space="preserve">. </w:t>
            </w:r>
            <w:r w:rsidRPr="004D599E">
              <w:rPr>
                <w:b w:val="0"/>
                <w:bCs w:val="0"/>
                <w:sz w:val="24"/>
                <w:szCs w:val="24"/>
              </w:rPr>
              <w:t xml:space="preserve"> </w:t>
            </w:r>
          </w:p>
          <w:p w:rsidR="00586CF2" w:rsidP="00586CF2" w14:paraId="1BCB0C06" w14:textId="1EEFA76A">
            <w:pPr>
              <w:pStyle w:val="unorderedlist"/>
              <w:numPr>
                <w:ilvl w:val="2"/>
                <w:numId w:val="6"/>
              </w:numPr>
              <w:jc w:val="both"/>
              <w:rPr>
                <w:sz w:val="24"/>
                <w:szCs w:val="24"/>
              </w:rPr>
            </w:pPr>
            <w:r>
              <w:rPr>
                <w:b w:val="0"/>
                <w:bCs w:val="0"/>
                <w:sz w:val="24"/>
                <w:szCs w:val="24"/>
              </w:rPr>
              <w:t xml:space="preserve">TOs to submit initial feedback by </w:t>
            </w:r>
            <w:r w:rsidR="00A14DFB">
              <w:rPr>
                <w:b w:val="0"/>
                <w:bCs w:val="0"/>
                <w:sz w:val="24"/>
                <w:szCs w:val="24"/>
              </w:rPr>
              <w:t>May 29</w:t>
            </w:r>
            <w:r w:rsidRPr="00A14DFB" w:rsidR="00A14DFB">
              <w:rPr>
                <w:b w:val="0"/>
                <w:bCs w:val="0"/>
                <w:sz w:val="24"/>
                <w:szCs w:val="24"/>
                <w:vertAlign w:val="superscript"/>
              </w:rPr>
              <w:t>th</w:t>
            </w:r>
            <w:r w:rsidR="00A14DFB">
              <w:rPr>
                <w:b w:val="0"/>
                <w:bCs w:val="0"/>
                <w:sz w:val="24"/>
                <w:szCs w:val="24"/>
              </w:rPr>
              <w:t xml:space="preserve">. </w:t>
            </w:r>
          </w:p>
          <w:p w:rsidR="00A14DFB" w:rsidRPr="00A14DFB" w:rsidP="00A14DFB" w14:paraId="25906AD1" w14:textId="2100AA05">
            <w:pPr>
              <w:pStyle w:val="unorderedlist"/>
              <w:numPr>
                <w:ilvl w:val="2"/>
                <w:numId w:val="6"/>
              </w:numPr>
              <w:jc w:val="both"/>
              <w:rPr>
                <w:sz w:val="24"/>
                <w:szCs w:val="24"/>
              </w:rPr>
            </w:pPr>
            <w:r>
              <w:rPr>
                <w:b w:val="0"/>
                <w:bCs w:val="0"/>
                <w:sz w:val="24"/>
                <w:szCs w:val="24"/>
              </w:rPr>
              <w:t>PJM to submit initial feedback to PowerTech by June 22</w:t>
            </w:r>
            <w:r w:rsidRPr="00A14DFB">
              <w:rPr>
                <w:b w:val="0"/>
                <w:bCs w:val="0"/>
                <w:sz w:val="24"/>
                <w:szCs w:val="24"/>
                <w:vertAlign w:val="superscript"/>
              </w:rPr>
              <w:t>nd</w:t>
            </w:r>
            <w:r>
              <w:rPr>
                <w:sz w:val="24"/>
                <w:szCs w:val="24"/>
              </w:rPr>
              <w:t>.</w:t>
            </w:r>
          </w:p>
          <w:p w:rsidR="00731298" w:rsidRPr="004D599E" w:rsidP="00731298" w14:paraId="37F911E7" w14:textId="7DE59667">
            <w:pPr>
              <w:pStyle w:val="unorderedlist"/>
              <w:rPr>
                <w:sz w:val="24"/>
                <w:szCs w:val="24"/>
              </w:rPr>
            </w:pPr>
            <w:r>
              <w:rPr>
                <w:b w:val="0"/>
                <w:bCs w:val="0"/>
                <w:sz w:val="24"/>
                <w:szCs w:val="24"/>
              </w:rPr>
              <w:t>The Gen Model 2026 window is now open from May 1</w:t>
            </w:r>
            <w:r w:rsidRPr="00144927">
              <w:rPr>
                <w:b w:val="0"/>
                <w:bCs w:val="0"/>
                <w:sz w:val="24"/>
                <w:szCs w:val="24"/>
                <w:vertAlign w:val="superscript"/>
              </w:rPr>
              <w:t>st</w:t>
            </w:r>
            <w:r>
              <w:rPr>
                <w:b w:val="0"/>
                <w:bCs w:val="0"/>
                <w:sz w:val="24"/>
                <w:szCs w:val="24"/>
              </w:rPr>
              <w:t xml:space="preserve"> to June 15</w:t>
            </w:r>
            <w:r w:rsidRPr="00144927">
              <w:rPr>
                <w:b w:val="0"/>
                <w:bCs w:val="0"/>
                <w:sz w:val="24"/>
                <w:szCs w:val="24"/>
                <w:vertAlign w:val="superscript"/>
              </w:rPr>
              <w:t>th</w:t>
            </w:r>
            <w:r>
              <w:rPr>
                <w:b w:val="0"/>
                <w:bCs w:val="0"/>
                <w:sz w:val="24"/>
                <w:szCs w:val="24"/>
              </w:rPr>
              <w:t xml:space="preserve">. </w:t>
            </w:r>
          </w:p>
          <w:p w:rsidR="00144927" w:rsidP="003E4E98" w14:paraId="40926945" w14:textId="77777777">
            <w:pPr>
              <w:pStyle w:val="unorderedlist"/>
              <w:numPr>
                <w:ilvl w:val="1"/>
                <w:numId w:val="6"/>
              </w:numPr>
              <w:rPr>
                <w:sz w:val="24"/>
                <w:szCs w:val="24"/>
              </w:rPr>
            </w:pPr>
            <w:r w:rsidRPr="004D599E">
              <w:rPr>
                <w:b w:val="0"/>
                <w:bCs w:val="0"/>
                <w:sz w:val="24"/>
                <w:szCs w:val="24"/>
              </w:rPr>
              <w:t xml:space="preserve">Generator Owners are </w:t>
            </w:r>
            <w:r>
              <w:rPr>
                <w:b w:val="0"/>
                <w:bCs w:val="0"/>
                <w:sz w:val="24"/>
                <w:szCs w:val="24"/>
              </w:rPr>
              <w:t xml:space="preserve">required to submit if they are NERC generators, if they participate in the PJM Capacity Market, or if they are 20 MW or greater. </w:t>
            </w:r>
          </w:p>
          <w:p w:rsidR="00144927" w:rsidP="003E4E98" w14:paraId="09C20FD7" w14:textId="77777777">
            <w:pPr>
              <w:pStyle w:val="unorderedlist"/>
              <w:numPr>
                <w:ilvl w:val="1"/>
                <w:numId w:val="6"/>
              </w:numPr>
              <w:rPr>
                <w:sz w:val="24"/>
                <w:szCs w:val="24"/>
              </w:rPr>
            </w:pPr>
            <w:r>
              <w:rPr>
                <w:b w:val="0"/>
                <w:bCs w:val="0"/>
                <w:sz w:val="24"/>
                <w:szCs w:val="24"/>
              </w:rPr>
              <w:t xml:space="preserve">Training documents and videos have been posted on PJM Planning Center. </w:t>
            </w:r>
          </w:p>
          <w:p w:rsidR="003E4E98" w:rsidRPr="004D599E" w:rsidP="003E4E98" w14:paraId="6930A3EE" w14:textId="11317F98">
            <w:pPr>
              <w:pStyle w:val="unorderedlist"/>
              <w:numPr>
                <w:ilvl w:val="1"/>
                <w:numId w:val="6"/>
              </w:numPr>
              <w:rPr>
                <w:sz w:val="24"/>
                <w:szCs w:val="24"/>
              </w:rPr>
            </w:pPr>
            <w:r>
              <w:rPr>
                <w:b w:val="0"/>
                <w:bCs w:val="0"/>
                <w:sz w:val="24"/>
                <w:szCs w:val="24"/>
              </w:rPr>
              <w:t>For support with Gen Model submissions, please reach out to GenModel@pjm.com.</w:t>
            </w:r>
            <w:r w:rsidRPr="004D599E" w:rsidR="00D01B26">
              <w:rPr>
                <w:b w:val="0"/>
                <w:bCs w:val="0"/>
                <w:sz w:val="24"/>
                <w:szCs w:val="24"/>
              </w:rPr>
              <w:t xml:space="preserve"> </w:t>
            </w:r>
          </w:p>
          <w:p w:rsidR="006610D9" w:rsidRPr="004D599E" w:rsidP="00144927" w14:paraId="48609C8C" w14:textId="32F8A44A">
            <w:pPr>
              <w:pStyle w:val="unorderedlist"/>
              <w:numPr>
                <w:ilvl w:val="0"/>
                <w:numId w:val="0"/>
              </w:numPr>
              <w:ind w:left="288"/>
              <w:jc w:val="both"/>
              <w:rPr>
                <w:sz w:val="24"/>
                <w:szCs w:val="24"/>
              </w:rPr>
            </w:pPr>
          </w:p>
        </w:tc>
      </w:tr>
      <w:tr w14:paraId="6B35EDCE" w14:textId="77777777" w:rsidTr="00383DE0">
        <w:tblPrEx>
          <w:tblW w:w="0" w:type="auto"/>
          <w:tblLayout w:type="fixed"/>
          <w:tblCellMar>
            <w:top w:w="43" w:type="dxa"/>
            <w:left w:w="115" w:type="dxa"/>
            <w:right w:w="115" w:type="dxa"/>
          </w:tblCellMar>
          <w:tblLook w:val="04A0"/>
        </w:tblPrEx>
        <w:trPr>
          <w:trHeight w:val="296"/>
        </w:trPr>
        <w:tc>
          <w:tcPr>
            <w:tcW w:w="9360" w:type="dxa"/>
          </w:tcPr>
          <w:p w:rsidR="002F629F" w:rsidP="001621B2" w14:paraId="069708B6" w14:textId="77777777">
            <w:pPr>
              <w:pStyle w:val="SecondaryHeading-Numbered"/>
              <w:numPr>
                <w:ilvl w:val="0"/>
                <w:numId w:val="0"/>
              </w:numPr>
              <w:rPr>
                <w:noProof/>
              </w:rPr>
            </w:pPr>
          </w:p>
        </w:tc>
      </w:tr>
    </w:tbl>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350"/>
        <w:gridCol w:w="1530"/>
        <w:gridCol w:w="3060"/>
        <w:gridCol w:w="1816"/>
        <w:gridCol w:w="1529"/>
      </w:tblGrid>
      <w:tr w14:paraId="3AC52ED4" w14:textId="77777777" w:rsidTr="00383DE0">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0EF0E0D0" w14:textId="77777777">
            <w:pPr>
              <w:pStyle w:val="PrimaryHeading"/>
              <w:keepNext w:val="0"/>
              <w:keepLines/>
              <w:spacing w:after="0"/>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49ED5178"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29"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305B547E" w14:textId="77777777">
            <w:pPr>
              <w:pStyle w:val="DisclaimerHeading"/>
              <w:keepLines/>
              <w:spacing w:before="40" w:after="40"/>
              <w:jc w:val="center"/>
              <w:rPr>
                <w:color w:val="FFFFFF" w:themeColor="background1"/>
                <w:sz w:val="19"/>
                <w:szCs w:val="19"/>
              </w:rPr>
            </w:pPr>
            <w:r w:rsidRPr="00DA23DE">
              <w:rPr>
                <w:b/>
                <w:color w:val="FFFFFF" w:themeColor="background1"/>
                <w:sz w:val="19"/>
                <w:szCs w:val="19"/>
              </w:rPr>
              <w:t>Materials Published</w:t>
            </w:r>
          </w:p>
        </w:tc>
      </w:tr>
      <w:tr w14:paraId="23318BDA" w14:textId="77777777" w:rsidTr="00383DE0">
        <w:tblPrEx>
          <w:tblW w:w="0" w:type="auto"/>
          <w:tblLook w:val="04A0"/>
        </w:tblPrEx>
        <w:trPr>
          <w:trHeight w:val="296"/>
        </w:trPr>
        <w:tc>
          <w:tcPr>
            <w:tcW w:w="135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39A258AD" w14:textId="77777777">
            <w:pPr>
              <w:pStyle w:val="DisclaimerHeading"/>
              <w:keepLines/>
              <w:spacing w:after="60"/>
              <w:jc w:val="center"/>
              <w:rPr>
                <w:color w:val="auto"/>
                <w:sz w:val="19"/>
                <w:szCs w:val="19"/>
              </w:rPr>
            </w:pPr>
            <w:r w:rsidRPr="00BB6921">
              <w:rPr>
                <w:i w:val="0"/>
                <w:color w:val="auto"/>
                <w:sz w:val="19"/>
                <w:szCs w:val="19"/>
              </w:rPr>
              <w:t>Date</w:t>
            </w:r>
          </w:p>
        </w:tc>
        <w:tc>
          <w:tcPr>
            <w:tcW w:w="153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430C0A3" w14:textId="77777777">
            <w:pPr>
              <w:pStyle w:val="DisclaimerHeading"/>
              <w:keepLines/>
              <w:spacing w:after="60"/>
              <w:jc w:val="center"/>
              <w:rPr>
                <w:color w:val="auto"/>
                <w:sz w:val="19"/>
                <w:szCs w:val="19"/>
              </w:rPr>
            </w:pPr>
            <w:r w:rsidRPr="00BB6921">
              <w:rPr>
                <w:color w:val="auto"/>
                <w:sz w:val="19"/>
                <w:szCs w:val="19"/>
              </w:rPr>
              <w:t>Time</w:t>
            </w:r>
          </w:p>
        </w:tc>
        <w:tc>
          <w:tcPr>
            <w:tcW w:w="306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7D5AF43E"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2558F638" w14:textId="77777777">
            <w:pPr>
              <w:pStyle w:val="DisclaimerHeading"/>
              <w:keepLines/>
              <w:jc w:val="center"/>
              <w:rPr>
                <w:color w:val="FFFFFF" w:themeColor="background1"/>
                <w:sz w:val="19"/>
                <w:szCs w:val="19"/>
              </w:rPr>
            </w:pPr>
          </w:p>
        </w:tc>
        <w:tc>
          <w:tcPr>
            <w:tcW w:w="1529"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0EA9A62" w14:textId="77777777">
            <w:pPr>
              <w:pStyle w:val="DisclaimerHeading"/>
              <w:keepLines/>
              <w:jc w:val="center"/>
              <w:rPr>
                <w:color w:val="FFFFFF" w:themeColor="background1"/>
                <w:sz w:val="19"/>
                <w:szCs w:val="19"/>
              </w:rPr>
            </w:pPr>
          </w:p>
        </w:tc>
      </w:tr>
      <w:tr w14:paraId="501B7521" w14:textId="77777777" w:rsidTr="00383DE0">
        <w:tblPrEx>
          <w:tblW w:w="0" w:type="auto"/>
          <w:tblLook w:val="04A0"/>
        </w:tblPrEx>
        <w:trPr>
          <w:trHeight w:val="331"/>
        </w:trPr>
        <w:tc>
          <w:tcPr>
            <w:tcW w:w="135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3ECEF367" w14:textId="77777777">
            <w:pPr>
              <w:pStyle w:val="DisclaimerHeading"/>
              <w:keepLines/>
              <w:spacing w:before="40" w:after="40" w:line="220" w:lineRule="exact"/>
              <w:rPr>
                <w:b w:val="0"/>
                <w:color w:val="auto"/>
                <w:sz w:val="18"/>
                <w:szCs w:val="18"/>
              </w:rPr>
            </w:pPr>
          </w:p>
        </w:tc>
        <w:tc>
          <w:tcPr>
            <w:tcW w:w="153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45C7BA7" w14:textId="77777777">
            <w:pPr>
              <w:pStyle w:val="DisclaimerHeading"/>
              <w:keepLines/>
              <w:spacing w:before="40" w:after="40" w:line="220" w:lineRule="exact"/>
              <w:rPr>
                <w:b w:val="0"/>
                <w:color w:val="auto"/>
                <w:sz w:val="18"/>
                <w:szCs w:val="18"/>
              </w:rPr>
            </w:pPr>
          </w:p>
        </w:tc>
        <w:tc>
          <w:tcPr>
            <w:tcW w:w="3060" w:type="dxa"/>
            <w:vMerge/>
            <w:tcBorders>
              <w:top w:val="single" w:sz="12" w:space="0" w:color="013366" w:themeColor="accent1"/>
              <w:left w:val="single" w:sz="6" w:space="0" w:color="FFFFFF" w:themeColor="background1"/>
              <w:right w:val="single" w:sz="8" w:space="0" w:color="auto"/>
            </w:tcBorders>
          </w:tcPr>
          <w:p w:rsidR="00CE451E" w:rsidRPr="00C10A93" w:rsidP="00CE451E" w14:paraId="0B008937" w14:textId="77777777">
            <w:pPr>
              <w:pStyle w:val="AttendeesList"/>
              <w:keepLines/>
              <w:spacing w:before="40" w:after="40" w:line="220" w:lineRule="exact"/>
              <w:rPr>
                <w:szCs w:val="18"/>
              </w:rPr>
            </w:pPr>
          </w:p>
        </w:tc>
        <w:tc>
          <w:tcPr>
            <w:tcW w:w="3345"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E9CCAC3"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76314E2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869481B" w14:textId="77777777">
            <w:pPr>
              <w:pStyle w:val="DisclaimerHeading"/>
              <w:keepLines/>
              <w:spacing w:before="40" w:after="40" w:line="220" w:lineRule="exact"/>
              <w:rPr>
                <w:b w:val="0"/>
                <w:color w:val="auto"/>
              </w:rPr>
            </w:pPr>
            <w:r>
              <w:rPr>
                <w:b w:val="0"/>
                <w:color w:val="auto"/>
              </w:rPr>
              <w:t>Friday</w:t>
            </w:r>
            <w:r w:rsidR="007C7926">
              <w:rPr>
                <w:b w:val="0"/>
                <w:color w:val="auto"/>
              </w:rPr>
              <w:t xml:space="preserve">, </w:t>
            </w:r>
            <w:r w:rsidR="007C7926">
              <w:rPr>
                <w:b w:val="0"/>
                <w:color w:val="auto"/>
              </w:rPr>
              <w:br/>
              <w:t xml:space="preserve">May </w:t>
            </w:r>
            <w:r>
              <w:rPr>
                <w:b w:val="0"/>
                <w:color w:val="auto"/>
              </w:rPr>
              <w:t>8</w:t>
            </w:r>
            <w:r w:rsidR="007C7926">
              <w:rPr>
                <w:b w:val="0"/>
                <w:color w:val="auto"/>
              </w:rPr>
              <w:t>,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0A001AD7"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1125437" w14:textId="77777777">
            <w:pPr>
              <w:pStyle w:val="DisclaimerHeading"/>
              <w:keepLines/>
              <w:spacing w:before="40" w:after="40" w:line="220" w:lineRule="exact"/>
              <w:rPr>
                <w:b w:val="0"/>
                <w:color w:val="auto"/>
              </w:rPr>
            </w:pPr>
            <w:r>
              <w:rPr>
                <w:b w:val="0"/>
                <w:color w:val="auto"/>
              </w:rPr>
              <w:t>Teleconference /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77359EF7" w14:textId="77777777">
            <w:pPr>
              <w:pStyle w:val="AttendeesList"/>
              <w:rPr>
                <w:sz w:val="16"/>
              </w:rPr>
            </w:pPr>
            <w:r>
              <w:rPr>
                <w:sz w:val="16"/>
              </w:rPr>
              <w:t>T</w:t>
            </w:r>
            <w:r w:rsidR="00CE0C70">
              <w:rPr>
                <w:sz w:val="16"/>
              </w:rPr>
              <w:t>uesday</w:t>
            </w:r>
            <w:r>
              <w:rPr>
                <w:sz w:val="16"/>
              </w:rPr>
              <w:t xml:space="preserve">, </w:t>
            </w:r>
            <w:r>
              <w:rPr>
                <w:sz w:val="16"/>
              </w:rPr>
              <w:br/>
              <w:t>April 2</w:t>
            </w:r>
            <w:r w:rsidR="00CE0C70">
              <w:rPr>
                <w:sz w:val="16"/>
              </w:rPr>
              <w:t>8</w:t>
            </w:r>
            <w:r>
              <w:rPr>
                <w:sz w:val="16"/>
              </w:rPr>
              <w:t>,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F205387" w14:textId="77777777">
            <w:pPr>
              <w:pStyle w:val="AttendeesList"/>
              <w:rPr>
                <w:sz w:val="16"/>
              </w:rPr>
            </w:pPr>
            <w:r>
              <w:rPr>
                <w:sz w:val="16"/>
              </w:rPr>
              <w:t>Friday</w:t>
            </w:r>
            <w:r w:rsidR="007C7926">
              <w:rPr>
                <w:sz w:val="16"/>
              </w:rPr>
              <w:t xml:space="preserve">, </w:t>
            </w:r>
            <w:r w:rsidR="007C7926">
              <w:rPr>
                <w:sz w:val="16"/>
              </w:rPr>
              <w:br/>
            </w:r>
            <w:r>
              <w:rPr>
                <w:sz w:val="16"/>
              </w:rPr>
              <w:t>May 1</w:t>
            </w:r>
            <w:r w:rsidR="007C7926">
              <w:rPr>
                <w:sz w:val="16"/>
              </w:rPr>
              <w:t>, 2026</w:t>
            </w:r>
          </w:p>
        </w:tc>
      </w:tr>
      <w:tr w14:paraId="48BC55BE"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5C907F37" w14:textId="77777777">
            <w:pPr>
              <w:pStyle w:val="DisclaimerHeading"/>
              <w:keepLines/>
              <w:spacing w:before="40" w:after="40" w:line="220" w:lineRule="exact"/>
              <w:rPr>
                <w:b w:val="0"/>
                <w:color w:val="auto"/>
              </w:rPr>
            </w:pPr>
            <w:r>
              <w:rPr>
                <w:b w:val="0"/>
                <w:color w:val="auto"/>
              </w:rPr>
              <w:t xml:space="preserve">Tuesday, </w:t>
            </w:r>
            <w:r>
              <w:rPr>
                <w:b w:val="0"/>
                <w:color w:val="auto"/>
              </w:rPr>
              <w:br/>
              <w:t>June 2,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E6D58CB"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3F4283B"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8B83A06" w14:textId="77777777">
            <w:pPr>
              <w:pStyle w:val="AttendeesList"/>
              <w:rPr>
                <w:sz w:val="16"/>
              </w:rPr>
            </w:pPr>
            <w:r>
              <w:rPr>
                <w:sz w:val="16"/>
              </w:rPr>
              <w:t xml:space="preserve">Thursday, </w:t>
            </w:r>
            <w:r>
              <w:rPr>
                <w:sz w:val="16"/>
              </w:rPr>
              <w:br/>
              <w:t>May 21,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E96C2D0" w14:textId="77777777">
            <w:pPr>
              <w:pStyle w:val="AttendeesList"/>
              <w:rPr>
                <w:sz w:val="16"/>
              </w:rPr>
            </w:pPr>
            <w:r>
              <w:rPr>
                <w:sz w:val="16"/>
              </w:rPr>
              <w:t xml:space="preserve">Tuesday, </w:t>
            </w:r>
            <w:r>
              <w:rPr>
                <w:sz w:val="16"/>
              </w:rPr>
              <w:br/>
              <w:t>May 26, 2026</w:t>
            </w:r>
          </w:p>
        </w:tc>
      </w:tr>
      <w:tr w14:paraId="647D23A0"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7C322BFE" w14:textId="77777777">
            <w:pPr>
              <w:pStyle w:val="DisclaimerHeading"/>
              <w:keepLines/>
              <w:spacing w:before="40" w:after="40" w:line="220" w:lineRule="exact"/>
              <w:rPr>
                <w:b w:val="0"/>
                <w:color w:val="auto"/>
              </w:rPr>
            </w:pPr>
            <w:r>
              <w:rPr>
                <w:b w:val="0"/>
                <w:color w:val="auto"/>
              </w:rPr>
              <w:t xml:space="preserve">Tuesday, </w:t>
            </w:r>
            <w:r>
              <w:rPr>
                <w:b w:val="0"/>
                <w:color w:val="auto"/>
              </w:rPr>
              <w:br/>
              <w:t>July 7,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2BCEA48A"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318AFFF3"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C89E17F" w14:textId="77777777">
            <w:pPr>
              <w:pStyle w:val="AttendeesList"/>
              <w:rPr>
                <w:sz w:val="16"/>
              </w:rPr>
            </w:pPr>
            <w:r>
              <w:rPr>
                <w:sz w:val="16"/>
              </w:rPr>
              <w:t xml:space="preserve">Thursday, </w:t>
            </w:r>
            <w:r>
              <w:rPr>
                <w:sz w:val="16"/>
              </w:rPr>
              <w:br/>
              <w:t>June 25,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109CA546" w14:textId="77777777">
            <w:pPr>
              <w:pStyle w:val="AttendeesList"/>
              <w:rPr>
                <w:sz w:val="16"/>
              </w:rPr>
            </w:pPr>
            <w:r>
              <w:rPr>
                <w:sz w:val="16"/>
              </w:rPr>
              <w:t xml:space="preserve">Tuesday, </w:t>
            </w:r>
            <w:r>
              <w:rPr>
                <w:sz w:val="16"/>
              </w:rPr>
              <w:br/>
              <w:t>June 30, 2026</w:t>
            </w:r>
          </w:p>
        </w:tc>
      </w:tr>
      <w:tr w14:paraId="33FD1B75"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2FCCAFFB" w14:textId="77777777">
            <w:pPr>
              <w:pStyle w:val="DisclaimerHeading"/>
              <w:keepLines/>
              <w:spacing w:before="40" w:after="40" w:line="220" w:lineRule="exact"/>
              <w:rPr>
                <w:b w:val="0"/>
                <w:color w:val="auto"/>
              </w:rPr>
            </w:pPr>
            <w:r>
              <w:rPr>
                <w:b w:val="0"/>
                <w:color w:val="auto"/>
              </w:rPr>
              <w:t xml:space="preserve">Tuesday, </w:t>
            </w:r>
            <w:r>
              <w:rPr>
                <w:b w:val="0"/>
                <w:color w:val="auto"/>
              </w:rPr>
              <w:br/>
              <w:t>August 4,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5A87F784"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D2F59CC"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C94AE98" w14:textId="77777777">
            <w:pPr>
              <w:pStyle w:val="AttendeesList"/>
              <w:rPr>
                <w:sz w:val="16"/>
              </w:rPr>
            </w:pPr>
            <w:r>
              <w:rPr>
                <w:sz w:val="16"/>
              </w:rPr>
              <w:t xml:space="preserve">Thursday, </w:t>
            </w:r>
            <w:r>
              <w:rPr>
                <w:sz w:val="16"/>
              </w:rPr>
              <w:br/>
              <w:t>July 23,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EFABBA2" w14:textId="77777777">
            <w:pPr>
              <w:pStyle w:val="AttendeesList"/>
              <w:rPr>
                <w:sz w:val="16"/>
              </w:rPr>
            </w:pPr>
            <w:r>
              <w:rPr>
                <w:sz w:val="16"/>
              </w:rPr>
              <w:t xml:space="preserve">Tuesday, </w:t>
            </w:r>
            <w:r>
              <w:rPr>
                <w:sz w:val="16"/>
              </w:rPr>
              <w:br/>
              <w:t>July 28, 2026</w:t>
            </w:r>
          </w:p>
        </w:tc>
      </w:tr>
      <w:tr w14:paraId="0AF838C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101316AC" w14:textId="77777777">
            <w:pPr>
              <w:pStyle w:val="DisclaimerHeading"/>
              <w:keepLines/>
              <w:spacing w:before="40" w:after="40" w:line="220" w:lineRule="exact"/>
              <w:rPr>
                <w:b w:val="0"/>
                <w:color w:val="auto"/>
              </w:rPr>
            </w:pPr>
            <w:r>
              <w:rPr>
                <w:b w:val="0"/>
                <w:color w:val="auto"/>
              </w:rPr>
              <w:t xml:space="preserve">Tuesday, </w:t>
            </w:r>
            <w:r>
              <w:rPr>
                <w:b w:val="0"/>
                <w:color w:val="auto"/>
              </w:rPr>
              <w:br/>
              <w:t>September 8,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47597CA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4F1101E4"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A826A22" w14:textId="77777777">
            <w:pPr>
              <w:pStyle w:val="AttendeesList"/>
              <w:rPr>
                <w:sz w:val="16"/>
              </w:rPr>
            </w:pPr>
            <w:r>
              <w:rPr>
                <w:sz w:val="16"/>
              </w:rPr>
              <w:t xml:space="preserve">Thursday, </w:t>
            </w:r>
            <w:r>
              <w:rPr>
                <w:sz w:val="16"/>
              </w:rPr>
              <w:br/>
              <w:t>August 27,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582E802E" w14:textId="77777777">
            <w:pPr>
              <w:pStyle w:val="AttendeesList"/>
              <w:rPr>
                <w:sz w:val="16"/>
              </w:rPr>
            </w:pPr>
            <w:r>
              <w:rPr>
                <w:sz w:val="16"/>
              </w:rPr>
              <w:t xml:space="preserve">Tuesday, </w:t>
            </w:r>
            <w:r>
              <w:rPr>
                <w:sz w:val="16"/>
              </w:rPr>
              <w:br/>
              <w:t>September 1, 2026</w:t>
            </w:r>
          </w:p>
        </w:tc>
      </w:tr>
      <w:tr w14:paraId="26B01F19"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6FA722DA" w14:textId="77777777">
            <w:pPr>
              <w:pStyle w:val="DisclaimerHeading"/>
              <w:keepLines/>
              <w:spacing w:before="40" w:after="40" w:line="220" w:lineRule="exact"/>
              <w:rPr>
                <w:b w:val="0"/>
                <w:color w:val="auto"/>
              </w:rPr>
            </w:pPr>
            <w:r>
              <w:rPr>
                <w:b w:val="0"/>
                <w:color w:val="auto"/>
              </w:rPr>
              <w:t xml:space="preserve">Tuesday, </w:t>
            </w:r>
            <w:r>
              <w:rPr>
                <w:b w:val="0"/>
                <w:color w:val="auto"/>
              </w:rPr>
              <w:br/>
              <w:t>October 6,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79F0E8FF"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2A277CB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P="00674419" w14:paraId="47E95379" w14:textId="77777777">
            <w:pPr>
              <w:pStyle w:val="AttendeesList"/>
              <w:rPr>
                <w:sz w:val="16"/>
              </w:rPr>
            </w:pPr>
            <w:r>
              <w:rPr>
                <w:sz w:val="16"/>
              </w:rPr>
              <w:t xml:space="preserve">Thursday, </w:t>
            </w:r>
          </w:p>
          <w:p w:rsidR="006F5DA9" w:rsidRPr="007F21AD" w:rsidP="00674419" w14:paraId="5D34299D" w14:textId="77777777">
            <w:pPr>
              <w:pStyle w:val="AttendeesList"/>
              <w:rPr>
                <w:sz w:val="16"/>
              </w:rPr>
            </w:pPr>
            <w:r>
              <w:rPr>
                <w:sz w:val="16"/>
              </w:rPr>
              <w:t>September 24,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352D5203" w14:textId="77777777">
            <w:pPr>
              <w:pStyle w:val="AttendeesList"/>
              <w:rPr>
                <w:sz w:val="16"/>
              </w:rPr>
            </w:pPr>
            <w:r>
              <w:rPr>
                <w:sz w:val="16"/>
              </w:rPr>
              <w:t xml:space="preserve">Tuesday, </w:t>
            </w:r>
            <w:r>
              <w:rPr>
                <w:sz w:val="16"/>
              </w:rPr>
              <w:br/>
              <w:t>September 29, 2026</w:t>
            </w:r>
          </w:p>
        </w:tc>
      </w:tr>
      <w:tr w14:paraId="6B6E71BF" w14:textId="77777777" w:rsidTr="00383DE0">
        <w:tblPrEx>
          <w:tblW w:w="0" w:type="auto"/>
          <w:tblLook w:val="04A0"/>
        </w:tblPrEx>
        <w:trPr>
          <w:trHeight w:val="331"/>
        </w:trPr>
        <w:tc>
          <w:tcPr>
            <w:tcW w:w="1350" w:type="dxa"/>
            <w:tcBorders>
              <w:top w:val="single" w:sz="4" w:space="0" w:color="auto"/>
              <w:bottom w:val="single" w:sz="4" w:space="0" w:color="auto"/>
              <w:right w:val="single" w:sz="4" w:space="0" w:color="auto"/>
            </w:tcBorders>
            <w:shd w:val="clear" w:color="auto" w:fill="E1F6FF"/>
            <w:vAlign w:val="center"/>
          </w:tcPr>
          <w:p w:rsidR="0081700D" w:rsidRPr="00453BFF" w:rsidP="00674419" w14:paraId="4DA5CC09" w14:textId="77777777">
            <w:pPr>
              <w:pStyle w:val="DisclaimerHeading"/>
              <w:keepLines/>
              <w:spacing w:before="40" w:after="40" w:line="220" w:lineRule="exact"/>
              <w:rPr>
                <w:b w:val="0"/>
                <w:color w:val="auto"/>
              </w:rPr>
            </w:pPr>
            <w:r>
              <w:rPr>
                <w:b w:val="0"/>
                <w:color w:val="auto"/>
              </w:rPr>
              <w:t xml:space="preserve">Tuesday, </w:t>
            </w:r>
            <w:r>
              <w:rPr>
                <w:b w:val="0"/>
                <w:color w:val="auto"/>
              </w:rPr>
              <w:br/>
              <w:t>November 3, 2026</w:t>
            </w:r>
          </w:p>
        </w:tc>
        <w:tc>
          <w:tcPr>
            <w:tcW w:w="1530" w:type="dxa"/>
            <w:tcBorders>
              <w:top w:val="single" w:sz="4" w:space="0" w:color="auto"/>
              <w:left w:val="single" w:sz="4" w:space="0" w:color="auto"/>
              <w:bottom w:val="single" w:sz="4" w:space="0" w:color="auto"/>
              <w:right w:val="single" w:sz="4" w:space="0" w:color="auto"/>
            </w:tcBorders>
            <w:vAlign w:val="center"/>
          </w:tcPr>
          <w:p w:rsidR="0081700D" w:rsidRPr="00453BFF" w:rsidP="00674419" w14:paraId="6C9159D2"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bottom w:val="single" w:sz="4" w:space="0" w:color="auto"/>
              <w:right w:val="single" w:sz="4" w:space="0" w:color="auto"/>
            </w:tcBorders>
            <w:vAlign w:val="center"/>
          </w:tcPr>
          <w:p w:rsidR="0081700D" w:rsidP="00674419" w14:paraId="1F2FC45A"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bottom w:val="single" w:sz="4" w:space="0" w:color="auto"/>
              <w:right w:val="single" w:sz="4" w:space="0" w:color="auto"/>
            </w:tcBorders>
            <w:vAlign w:val="center"/>
          </w:tcPr>
          <w:p w:rsidR="0081700D" w:rsidRPr="007F21AD" w:rsidP="00674419" w14:paraId="068C7C4D" w14:textId="77777777">
            <w:pPr>
              <w:pStyle w:val="AttendeesList"/>
              <w:rPr>
                <w:sz w:val="16"/>
              </w:rPr>
            </w:pPr>
            <w:r>
              <w:rPr>
                <w:sz w:val="16"/>
              </w:rPr>
              <w:t xml:space="preserve">Thursday, </w:t>
            </w:r>
            <w:r>
              <w:rPr>
                <w:sz w:val="16"/>
              </w:rPr>
              <w:br/>
              <w:t>October 22, 2026</w:t>
            </w:r>
          </w:p>
        </w:tc>
        <w:tc>
          <w:tcPr>
            <w:tcW w:w="1529" w:type="dxa"/>
            <w:tcBorders>
              <w:top w:val="single" w:sz="4" w:space="0" w:color="auto"/>
              <w:left w:val="single" w:sz="4" w:space="0" w:color="auto"/>
              <w:bottom w:val="single" w:sz="4" w:space="0" w:color="auto"/>
              <w:right w:val="single" w:sz="4" w:space="0" w:color="auto"/>
            </w:tcBorders>
            <w:vAlign w:val="center"/>
          </w:tcPr>
          <w:p w:rsidR="0081700D" w:rsidP="00674419" w14:paraId="56895403" w14:textId="77777777">
            <w:pPr>
              <w:pStyle w:val="AttendeesList"/>
              <w:rPr>
                <w:sz w:val="16"/>
              </w:rPr>
            </w:pPr>
            <w:r>
              <w:rPr>
                <w:sz w:val="16"/>
              </w:rPr>
              <w:t xml:space="preserve">Tuesday, </w:t>
            </w:r>
          </w:p>
          <w:p w:rsidR="006F5DA9" w:rsidRPr="007F21AD" w:rsidP="00674419" w14:paraId="6D68E036" w14:textId="77777777">
            <w:pPr>
              <w:pStyle w:val="AttendeesList"/>
              <w:rPr>
                <w:sz w:val="16"/>
              </w:rPr>
            </w:pPr>
            <w:r>
              <w:rPr>
                <w:sz w:val="16"/>
              </w:rPr>
              <w:t>October 27, 2026</w:t>
            </w:r>
          </w:p>
        </w:tc>
      </w:tr>
      <w:tr w14:paraId="4A93DC13" w14:textId="77777777" w:rsidTr="00383DE0">
        <w:tblPrEx>
          <w:tblW w:w="0" w:type="auto"/>
          <w:tblLook w:val="04A0"/>
        </w:tblPrEx>
        <w:trPr>
          <w:trHeight w:val="331"/>
        </w:trPr>
        <w:tc>
          <w:tcPr>
            <w:tcW w:w="1350" w:type="dxa"/>
            <w:tcBorders>
              <w:top w:val="single" w:sz="4" w:space="0" w:color="auto"/>
              <w:right w:val="single" w:sz="4" w:space="0" w:color="auto"/>
            </w:tcBorders>
            <w:shd w:val="clear" w:color="auto" w:fill="E1F6FF"/>
            <w:vAlign w:val="center"/>
          </w:tcPr>
          <w:p w:rsidR="0081700D" w:rsidRPr="00453BFF" w:rsidP="00674419" w14:paraId="070EAF97" w14:textId="77777777">
            <w:pPr>
              <w:pStyle w:val="DisclaimerHeading"/>
              <w:keepLines/>
              <w:spacing w:before="40" w:after="40" w:line="220" w:lineRule="exact"/>
              <w:rPr>
                <w:b w:val="0"/>
                <w:color w:val="auto"/>
              </w:rPr>
            </w:pPr>
            <w:r>
              <w:rPr>
                <w:b w:val="0"/>
                <w:color w:val="auto"/>
              </w:rPr>
              <w:t xml:space="preserve">Tuesday, </w:t>
            </w:r>
            <w:r>
              <w:rPr>
                <w:b w:val="0"/>
                <w:color w:val="auto"/>
              </w:rPr>
              <w:br/>
              <w:t>December 1, 2026</w:t>
            </w:r>
          </w:p>
        </w:tc>
        <w:tc>
          <w:tcPr>
            <w:tcW w:w="1530" w:type="dxa"/>
            <w:tcBorders>
              <w:top w:val="single" w:sz="4" w:space="0" w:color="auto"/>
              <w:left w:val="single" w:sz="4" w:space="0" w:color="auto"/>
              <w:right w:val="single" w:sz="4" w:space="0" w:color="auto"/>
            </w:tcBorders>
            <w:vAlign w:val="center"/>
          </w:tcPr>
          <w:p w:rsidR="0081700D" w:rsidRPr="00453BFF" w:rsidP="00674419" w14:paraId="5972E96E" w14:textId="77777777">
            <w:pPr>
              <w:pStyle w:val="DisclaimerHeading"/>
              <w:keepLines/>
              <w:spacing w:before="40" w:after="40" w:line="220" w:lineRule="exact"/>
              <w:rPr>
                <w:b w:val="0"/>
                <w:color w:val="auto"/>
              </w:rPr>
            </w:pPr>
            <w:r w:rsidRPr="00453BFF">
              <w:rPr>
                <w:b w:val="0"/>
                <w:color w:val="auto"/>
              </w:rPr>
              <w:t xml:space="preserve">9:00 a.m. – 12:00 p.m.            </w:t>
            </w:r>
          </w:p>
        </w:tc>
        <w:tc>
          <w:tcPr>
            <w:tcW w:w="3060" w:type="dxa"/>
            <w:tcBorders>
              <w:top w:val="single" w:sz="4" w:space="0" w:color="auto"/>
              <w:left w:val="single" w:sz="4" w:space="0" w:color="auto"/>
              <w:right w:val="single" w:sz="4" w:space="0" w:color="auto"/>
            </w:tcBorders>
            <w:vAlign w:val="center"/>
          </w:tcPr>
          <w:p w:rsidR="0081700D" w:rsidP="00674419" w14:paraId="2871F5EE" w14:textId="77777777">
            <w:pPr>
              <w:pStyle w:val="DisclaimerHeading"/>
              <w:keepLines/>
              <w:spacing w:before="40" w:after="40" w:line="220" w:lineRule="exact"/>
              <w:rPr>
                <w:b w:val="0"/>
                <w:color w:val="auto"/>
              </w:rPr>
            </w:pPr>
            <w:r>
              <w:rPr>
                <w:b w:val="0"/>
                <w:color w:val="auto"/>
              </w:rPr>
              <w:t>PJM Conference &amp; Training Center</w:t>
            </w:r>
            <w:r w:rsidRPr="00453BFF">
              <w:rPr>
                <w:b w:val="0"/>
                <w:color w:val="auto"/>
              </w:rPr>
              <w:t xml:space="preserve"> and Webex</w:t>
            </w:r>
          </w:p>
        </w:tc>
        <w:tc>
          <w:tcPr>
            <w:tcW w:w="1816" w:type="dxa"/>
            <w:tcBorders>
              <w:top w:val="single" w:sz="4" w:space="0" w:color="auto"/>
              <w:left w:val="single" w:sz="4" w:space="0" w:color="auto"/>
              <w:right w:val="single" w:sz="4" w:space="0" w:color="auto"/>
            </w:tcBorders>
            <w:vAlign w:val="center"/>
          </w:tcPr>
          <w:p w:rsidR="0081700D" w:rsidRPr="007F21AD" w:rsidP="00674419" w14:paraId="36F4848D" w14:textId="77777777">
            <w:pPr>
              <w:pStyle w:val="AttendeesList"/>
              <w:rPr>
                <w:sz w:val="16"/>
              </w:rPr>
            </w:pPr>
            <w:r>
              <w:rPr>
                <w:sz w:val="16"/>
              </w:rPr>
              <w:t xml:space="preserve">Thursday, </w:t>
            </w:r>
            <w:r>
              <w:rPr>
                <w:sz w:val="16"/>
              </w:rPr>
              <w:br/>
              <w:t>November 19, 2026</w:t>
            </w:r>
          </w:p>
        </w:tc>
        <w:tc>
          <w:tcPr>
            <w:tcW w:w="1529" w:type="dxa"/>
            <w:tcBorders>
              <w:top w:val="single" w:sz="4" w:space="0" w:color="auto"/>
              <w:left w:val="single" w:sz="4" w:space="0" w:color="auto"/>
              <w:right w:val="single" w:sz="4" w:space="0" w:color="auto"/>
            </w:tcBorders>
            <w:vAlign w:val="center"/>
          </w:tcPr>
          <w:p w:rsidR="0081700D" w:rsidP="00674419" w14:paraId="5D8DEDF0" w14:textId="77777777">
            <w:pPr>
              <w:pStyle w:val="AttendeesList"/>
              <w:rPr>
                <w:sz w:val="16"/>
              </w:rPr>
            </w:pPr>
            <w:r>
              <w:rPr>
                <w:sz w:val="16"/>
              </w:rPr>
              <w:t xml:space="preserve">Tuesday, </w:t>
            </w:r>
          </w:p>
          <w:p w:rsidR="006F5DA9" w:rsidRPr="007F21AD" w:rsidP="00674419" w14:paraId="28EDEC6D" w14:textId="77777777">
            <w:pPr>
              <w:pStyle w:val="AttendeesList"/>
              <w:rPr>
                <w:sz w:val="16"/>
              </w:rPr>
            </w:pPr>
            <w:r>
              <w:rPr>
                <w:sz w:val="16"/>
              </w:rPr>
              <w:t>November 24, 2026</w:t>
            </w:r>
          </w:p>
        </w:tc>
      </w:tr>
    </w:tbl>
    <w:p w:rsidR="003C3320" w:rsidP="00CE451E" w14:paraId="256EB3E0"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2F74C3A" w14:textId="77777777">
      <w:pPr>
        <w:pStyle w:val="Author"/>
      </w:pPr>
    </w:p>
    <w:p w:rsidR="00734936" w:rsidP="00734936" w14:paraId="04341B39" w14:textId="77777777">
      <w:pPr>
        <w:pStyle w:val="Author"/>
        <w:keepNext/>
        <w:keepLines/>
      </w:pPr>
      <w:r>
        <w:t xml:space="preserve">Author: </w:t>
      </w:r>
      <w:r w:rsidR="004D6DD7">
        <w:t>Nicole Bugay</w:t>
      </w:r>
    </w:p>
    <w:p w:rsidR="00734936" w:rsidRPr="00B62597" w:rsidP="00734936" w14:paraId="5E051E7D" w14:textId="77777777">
      <w:pPr>
        <w:pStyle w:val="Author"/>
        <w:keepNext/>
        <w:keepLines/>
      </w:pPr>
    </w:p>
    <w:p w:rsidR="00734936" w:rsidRPr="00B62597" w:rsidP="00734936" w14:paraId="056F97E0" w14:textId="77777777">
      <w:pPr>
        <w:pStyle w:val="DisclaimerHeading"/>
        <w:keepNext/>
        <w:keepLines/>
      </w:pPr>
      <w:r>
        <w:t>Anti</w:t>
      </w:r>
      <w:r w:rsidRPr="00B62597">
        <w:t>trust:</w:t>
      </w:r>
    </w:p>
    <w:p w:rsidR="00734936" w:rsidP="00734936" w14:paraId="25222685"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047C6047"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734936" w:rsidRPr="00095E8F" w:rsidP="001E6991" w14:paraId="2A2C945C"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734936" w:rsidP="001E6991" w14:paraId="0B44514F"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734936" w:rsidRPr="00095E8F" w:rsidP="001E6991" w14:paraId="56F00CE7"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734936" w:rsidRPr="00095E8F" w:rsidP="001E6991" w14:paraId="522BE58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734936" w:rsidRPr="00095E8F" w:rsidP="001E6991" w14:paraId="7910CC7F"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734936" w:rsidRPr="00095E8F" w:rsidP="001E6991" w14:paraId="14821249"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734936" w:rsidRPr="00095E8F" w:rsidP="001E6991" w14:paraId="5D042E98"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734936" w:rsidP="00734936" w14:paraId="32863C37"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rsidR="004D6DD7">
        <w:t>approval or</w:t>
      </w:r>
      <w:r>
        <w:t xml:space="preserve"> may reflect regulatory mandates established by state authorities.</w:t>
      </w:r>
    </w:p>
    <w:p w:rsidR="00734936" w:rsidP="00734936" w14:paraId="62C0DB33" w14:textId="77777777">
      <w:pPr>
        <w:pStyle w:val="DisclosureBody"/>
        <w:ind w:right="180"/>
      </w:pPr>
      <w:r>
        <w:t xml:space="preserve">If prohibited topics are raised, the Chair will redirect the conversation. If the discussion continues, participants may be asked to leave the </w:t>
      </w:r>
      <w:r w:rsidR="004D6DD7">
        <w:t>meeting,</w:t>
      </w:r>
      <w:r>
        <w:t xml:space="preserve"> or the meeting may be adjourned. For more information, please refer to </w:t>
      </w:r>
      <w:hyperlink r:id="rId4" w:history="1">
        <w:r w:rsidRPr="0080148F">
          <w:rPr>
            <w:rStyle w:val="Hyperlink"/>
          </w:rPr>
          <w:t>PJM’s Antitrust Guidelines for Stakeholder Meetings</w:t>
        </w:r>
      </w:hyperlink>
      <w:r w:rsidRPr="00FF5170">
        <w:t xml:space="preserve">, </w:t>
      </w:r>
      <w:r>
        <w:t xml:space="preserve">which are posted on PJM’s </w:t>
      </w:r>
      <w:hyperlink r:id="rId5" w:history="1">
        <w:r w:rsidRPr="00095E8F">
          <w:rPr>
            <w:rStyle w:val="Hyperlink"/>
          </w:rPr>
          <w:t>Committees and Groups page</w:t>
        </w:r>
      </w:hyperlink>
      <w:r>
        <w:t>.</w:t>
      </w:r>
    </w:p>
    <w:p w:rsidR="00734936" w:rsidP="00734936" w14:paraId="1BA62FD6"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3381D288" w14:textId="77777777" w:rsidTr="001E6991">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734936" w:rsidRPr="00B62597" w:rsidP="001E6991" w14:paraId="5185E554" w14:textId="77777777">
            <w:pPr>
              <w:pStyle w:val="DisclaimerHeading"/>
              <w:spacing w:before="60"/>
            </w:pPr>
            <w:r w:rsidRPr="00B62597">
              <w:t>Code of Conduct:</w:t>
            </w:r>
          </w:p>
          <w:p w:rsidR="00734936" w:rsidRPr="00B62597" w:rsidP="001E6991" w14:paraId="18BBB763"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6" w:history="1">
              <w:r w:rsidRPr="00FA5955">
                <w:rPr>
                  <w:rStyle w:val="Hyperlink"/>
                </w:rPr>
                <w:t>PJM Code of Conduct</w:t>
              </w:r>
            </w:hyperlink>
            <w:r w:rsidRPr="00FA5955">
              <w:t>.</w:t>
            </w:r>
          </w:p>
          <w:p w:rsidR="00734936" w:rsidRPr="00B62597" w:rsidP="001E6991" w14:paraId="74770BB5" w14:textId="77777777">
            <w:pPr>
              <w:pStyle w:val="DisclaimerHeading"/>
              <w:spacing w:before="240"/>
            </w:pPr>
            <w:r w:rsidRPr="00B62597">
              <w:t xml:space="preserve">Public Meetings/Media Participation: </w:t>
            </w:r>
          </w:p>
          <w:p w:rsidR="00734936" w:rsidP="001E6991" w14:paraId="1609082E"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t>
            </w:r>
            <w:r w:rsidRPr="00B62597" w:rsidR="004D6DD7">
              <w:t>whiteboard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734936" w:rsidP="001E6991" w14:paraId="738B9610" w14:textId="77777777">
            <w:pPr>
              <w:pStyle w:val="DisclaimerHeading"/>
              <w:spacing w:before="60"/>
              <w:ind w:left="85"/>
            </w:pPr>
            <w:r>
              <w:t>Participant Identification in Webex:</w:t>
            </w:r>
          </w:p>
          <w:p w:rsidR="00734936" w:rsidP="001E6991" w14:paraId="4D08DD59" w14:textId="77777777">
            <w:pPr>
              <w:pStyle w:val="DisclaimerBodyCopy"/>
              <w:ind w:left="85"/>
            </w:pPr>
            <w:r>
              <w:t>When logging into the Webex desktop client, please enter your real first and last name as well as a valid email address. Be sure to select the “call me” option.</w:t>
            </w:r>
          </w:p>
          <w:p w:rsidR="00734936" w:rsidP="001E6991" w14:paraId="68206AC8"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734936" w:rsidRPr="00D827A6" w:rsidP="001E6991" w14:paraId="3EAD777D" w14:textId="77777777">
            <w:pPr>
              <w:pStyle w:val="DisclaimerHeading"/>
              <w:spacing w:before="240"/>
              <w:ind w:left="85"/>
            </w:pPr>
            <w:r w:rsidRPr="00D827A6">
              <w:t>Participant Use of Webex Chat:</w:t>
            </w:r>
          </w:p>
          <w:p w:rsidR="00734936" w:rsidP="001E6991" w14:paraId="1FCDC16A" w14:textId="77777777">
            <w:pPr>
              <w:pStyle w:val="DisclaimerBodyCopy"/>
              <w:ind w:left="85"/>
            </w:pPr>
            <w:r>
              <w:t xml:space="preserve">The use of the Webex chat feature during meetings shall be </w:t>
            </w:r>
            <w:r w:rsidR="004D6DD7">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rsidR="004D6DD7">
              <w:t xml:space="preserve">speaker </w:t>
            </w:r>
            <w:r>
              <w:t xml:space="preserve">queue.  </w:t>
            </w:r>
          </w:p>
        </w:tc>
      </w:tr>
    </w:tbl>
    <w:p w:rsidR="00734936" w:rsidP="00734936" w14:paraId="167668C6" w14:textId="77777777">
      <w:pPr>
        <w:pStyle w:val="DisclaimerBodyCopy"/>
      </w:pPr>
    </w:p>
    <w:p w:rsidR="00734936" w:rsidP="00734936" w14:paraId="579E44B4"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734936" w:rsidP="00734936" w14:paraId="6DBE7FE2" w14:textId="77777777">
      <w:pPr>
        <w:pStyle w:val="DisclaimerHeading"/>
      </w:pPr>
    </w:p>
    <w:p w:rsidR="00027F49" w:rsidRPr="009C15C4" w:rsidP="00027F49" w14:paraId="403D00C8" w14:textId="77777777">
      <w:r>
        <w:rPr>
          <w:noProof/>
        </w:rPr>
        <w:drawing>
          <wp:inline distT="0" distB="0" distL="0" distR="0">
            <wp:extent cx="5943600" cy="758825"/>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8825"/>
                    </a:xfrm>
                    <a:prstGeom prst="rect">
                      <a:avLst/>
                    </a:prstGeom>
                    <a:noFill/>
                  </pic:spPr>
                </pic:pic>
              </a:graphicData>
            </a:graphic>
          </wp:inline>
        </w:drawing>
      </w:r>
    </w:p>
    <w:p w:rsidR="007C4420" w:rsidP="009C15C4" w14:paraId="7F53BFE9" w14:textId="77777777"/>
    <w:p w:rsidR="007C4420" w:rsidP="009C15C4" w14:paraId="4AF643E2" w14:textId="77777777"/>
    <w:p w:rsidR="007C4420" w:rsidP="009C15C4" w14:paraId="649700DA" w14:textId="77777777"/>
    <w:p w:rsidR="007C4420" w:rsidP="009C15C4" w14:paraId="10089D8A" w14:textId="77777777"/>
    <w:p w:rsidR="007C4420" w:rsidP="009C15C4" w14:paraId="359071A7" w14:textId="77777777"/>
    <w:p w:rsidR="007C4420" w:rsidP="009C15C4" w14:paraId="0164E831" w14:textId="77777777"/>
    <w:p w:rsidR="007C4420" w:rsidP="009C15C4" w14:paraId="172C4F15" w14:textId="77777777"/>
    <w:p w:rsidR="0057441E" w:rsidRPr="009C15C4" w:rsidP="009C15C4" w14:paraId="411C8FB2"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4D6DD7" w:rsidRPr="0025139E" w:rsidP="004D6DD7"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4D6DD7" w:rsidRPr="0025139E" w:rsidP="004D6DD7" w14:paraId="7A47310B"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9"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0"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p w:rsidR="009C15C4" w:rsidRPr="0025139E" w:rsidP="009C15C4" w14:paraId="18316736"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s="Arial"/>
                          <w:color w:val="013366" w:themeColor="accent1"/>
                        </w:rPr>
                        <w:t>.</w:t>
                      </w:r>
                    </w:p>
                  </w:txbxContent>
                </v:textbox>
                <w10:wrap type="topAndBottom"/>
              </v:shape>
            </w:pict>
          </mc:Fallback>
        </mc:AlternateContent>
      </w:r>
    </w:p>
    <w:sectPr w:rsidSect="00A86205">
      <w:headerReference w:type="default" r:id="rId11"/>
      <w:footerReference w:type="even" r:id="rId12"/>
      <w:footerReference w:type="default" r:id="rId13"/>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14:paraId="0A0149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F2E38" w14:paraId="6E5CEE8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P="00DB29E9" w14:paraId="413477F3"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59080B">
      <w:rPr>
        <w:rStyle w:val="PageNumber"/>
        <w:noProof/>
      </w:rPr>
      <w:t>3</w:t>
    </w:r>
    <w:r>
      <w:rPr>
        <w:rStyle w:val="PageNumber"/>
      </w:rPr>
      <w:fldChar w:fldCharType="end"/>
    </w:r>
  </w:p>
  <w:p w:rsidR="00B62597" w:rsidRPr="001678E8" w14:paraId="14EA8C28" w14:textId="77777777">
    <w:pPr>
      <w:pStyle w:val="Footer"/>
      <w:rPr>
        <w:rFonts w:ascii="Arial Narrow" w:hAnsi="Arial Narrow"/>
        <w:sz w:val="20"/>
      </w:rPr>
    </w:pPr>
    <w:bookmarkStart w:id="3" w:name="OLE_LINK1"/>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bookmarkEnd w:id="3"/>
    <w:r w:rsidRPr="00DB29E9" w:rsidR="00734936">
      <w:rPr>
        <w:rFonts w:ascii="Arial Narrow" w:hAnsi="Arial Narrow"/>
        <w:sz w:val="20"/>
      </w:rPr>
      <w:t>PJM</w:t>
    </w:r>
    <w:r w:rsidR="00734936">
      <w:rPr>
        <w:rFonts w:ascii="Arial Narrow" w:hAnsi="Arial Narrow"/>
        <w:sz w:val="20"/>
      </w:rPr>
      <w:t xml:space="preserve"> </w:t>
    </w:r>
    <w:r w:rsidRPr="00DB29E9" w:rsidR="00734936">
      <w:rPr>
        <w:rFonts w:ascii="Arial Narrow" w:hAnsi="Arial Narrow"/>
        <w:sz w:val="20"/>
      </w:rPr>
      <w:t>©</w:t>
    </w:r>
    <w:r w:rsidR="00734936">
      <w:rPr>
        <w:rFonts w:ascii="Arial Narrow" w:hAnsi="Arial Narrow"/>
        <w:sz w:val="20"/>
      </w:rPr>
      <w:t xml:space="preserve"> </w:t>
    </w:r>
    <w:r w:rsidRPr="00DB29E9" w:rsidR="00734936">
      <w:rPr>
        <w:rFonts w:ascii="Arial Narrow" w:hAnsi="Arial Narrow"/>
        <w:sz w:val="20"/>
      </w:rPr>
      <w:t>20</w:t>
    </w:r>
    <w:r w:rsidR="00734936">
      <w:rPr>
        <w:rFonts w:ascii="Arial Narrow" w:hAnsi="Arial Narrow"/>
        <w:sz w:val="20"/>
      </w:rPr>
      <w:t>26</w:t>
    </w:r>
    <w:r w:rsidR="00991528">
      <w:rPr>
        <w:rFonts w:ascii="Arial Narrow" w:hAnsi="Arial Narrow"/>
        <w:sz w:val="20"/>
      </w:rPr>
      <w:tab/>
    </w:r>
    <w:r w:rsidR="000232DF">
      <w:rPr>
        <w:rFonts w:ascii="Arial Narrow" w:hAnsi="Arial Narrow"/>
        <w:sz w:val="20"/>
      </w:rPr>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F2E38" w:rsidRPr="00711249" w:rsidP="00A86205" w14:paraId="5929BE7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4.8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26C19D0C" w14:textId="77777777">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2A2FF7"/>
    <w:multiLevelType w:val="multilevel"/>
    <w:tmpl w:val="74D47142"/>
    <w:lvl w:ilvl="0">
      <w:start w:val="1"/>
      <w:numFmt w:val="bullet"/>
      <w:pStyle w:val="unorderedlist"/>
      <w:lvlText w:val=""/>
      <w:lvlJc w:val="left"/>
      <w:pPr>
        <w:ind w:left="288" w:hanging="288"/>
      </w:pPr>
      <w:rPr>
        <w:rFonts w:ascii="Symbol" w:hAnsi="Symbol" w:hint="default"/>
        <w:color w:val="013366" w:themeColor="accent1"/>
      </w:rPr>
    </w:lvl>
    <w:lvl w:ilvl="1">
      <w:start w:val="1"/>
      <w:numFmt w:val="bullet"/>
      <w:lvlText w:val="−"/>
      <w:lvlJc w:val="left"/>
      <w:pPr>
        <w:ind w:left="504" w:hanging="216"/>
      </w:pPr>
      <w:rPr>
        <w:rFonts w:ascii="Arial Narrow" w:hAnsi="Arial Narrow" w:hint="default"/>
        <w:color w:val="013366" w:themeColor="accent1"/>
      </w:rPr>
    </w:lvl>
    <w:lvl w:ilvl="2">
      <w:start w:val="1"/>
      <w:numFmt w:val="bullet"/>
      <w:lvlText w:val=""/>
      <w:lvlJc w:val="left"/>
      <w:pPr>
        <w:ind w:left="792" w:hanging="216"/>
      </w:pPr>
      <w:rPr>
        <w:rFonts w:ascii="Wingdings" w:hAnsi="Wingdings" w:hint="default"/>
        <w:color w:val="013366" w:themeColor="accent1"/>
      </w:rPr>
    </w:lvl>
    <w:lvl w:ilvl="3">
      <w:start w:val="1"/>
      <w:numFmt w:val="bullet"/>
      <w:lvlText w:val=""/>
      <w:lvlJc w:val="left"/>
      <w:pPr>
        <w:ind w:left="1512" w:hanging="216"/>
      </w:pPr>
      <w:rPr>
        <w:rFonts w:ascii="Symbol" w:hAnsi="Symbol" w:hint="default"/>
      </w:rPr>
    </w:lvl>
    <w:lvl w:ilvl="4">
      <w:start w:val="1"/>
      <w:numFmt w:val="bullet"/>
      <w:lvlText w:val="o"/>
      <w:lvlJc w:val="left"/>
      <w:pPr>
        <w:ind w:left="1944" w:hanging="216"/>
      </w:pPr>
      <w:rPr>
        <w:rFonts w:ascii="Courier New" w:hAnsi="Courier New" w:cs="Courier New" w:hint="default"/>
      </w:rPr>
    </w:lvl>
    <w:lvl w:ilvl="5">
      <w:start w:val="1"/>
      <w:numFmt w:val="bullet"/>
      <w:lvlText w:val=""/>
      <w:lvlJc w:val="left"/>
      <w:pPr>
        <w:ind w:left="2376" w:hanging="216"/>
      </w:pPr>
      <w:rPr>
        <w:rFonts w:ascii="Wingdings" w:hAnsi="Wingdings" w:hint="default"/>
      </w:rPr>
    </w:lvl>
    <w:lvl w:ilvl="6">
      <w:start w:val="1"/>
      <w:numFmt w:val="bullet"/>
      <w:lvlText w:val=""/>
      <w:lvlJc w:val="left"/>
      <w:pPr>
        <w:ind w:left="2808" w:hanging="216"/>
      </w:pPr>
      <w:rPr>
        <w:rFonts w:ascii="Symbol" w:hAnsi="Symbol" w:hint="default"/>
      </w:rPr>
    </w:lvl>
    <w:lvl w:ilvl="7">
      <w:start w:val="1"/>
      <w:numFmt w:val="bullet"/>
      <w:lvlText w:val="o"/>
      <w:lvlJc w:val="left"/>
      <w:pPr>
        <w:ind w:left="3240" w:hanging="216"/>
      </w:pPr>
      <w:rPr>
        <w:rFonts w:ascii="Courier New" w:hAnsi="Courier New" w:cs="Courier New" w:hint="default"/>
      </w:rPr>
    </w:lvl>
    <w:lvl w:ilvl="8">
      <w:start w:val="1"/>
      <w:numFmt w:val="bullet"/>
      <w:lvlText w:val=""/>
      <w:lvlJc w:val="left"/>
      <w:pPr>
        <w:ind w:left="3672" w:hanging="216"/>
      </w:pPr>
      <w:rPr>
        <w:rFonts w:ascii="Wingdings" w:hAnsi="Wingdings" w:hint="default"/>
      </w:rPr>
    </w:lvl>
  </w:abstractNum>
  <w:abstractNum w:abstractNumId="2">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3">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0395BF3"/>
    <w:multiLevelType w:val="hybridMultilevel"/>
    <w:tmpl w:val="7880647C"/>
    <w:lvl w:ilvl="0">
      <w:start w:val="1"/>
      <w:numFmt w:val="decimal"/>
      <w:lvlText w:val="%1."/>
      <w:lvlJc w:val="left"/>
      <w:pPr>
        <w:ind w:left="360" w:hanging="360"/>
      </w:pPr>
      <w:rPr>
        <w:rFonts w:ascii="Arial Narrow" w:hAnsi="Arial Narrow" w:hint="default"/>
        <w:b w:val="0"/>
        <w:i w:val="0"/>
        <w:color w:val="auto"/>
        <w:sz w:val="24"/>
        <w:szCs w:val="24"/>
      </w:rPr>
    </w:lvl>
    <w:lvl w:ilvl="1">
      <w:start w:val="1"/>
      <w:numFmt w:val="upperLetter"/>
      <w:lvlText w:val="%2."/>
      <w:lvlJc w:val="left"/>
      <w:pPr>
        <w:ind w:left="1080" w:hanging="360"/>
      </w:pPr>
      <w:rPr>
        <w:rFonts w:hint="default"/>
        <w:b w:val="0"/>
        <w:color w:val="auto"/>
      </w:rPr>
    </w:lvl>
    <w:lvl w:ilvl="2">
      <w:start w:val="1"/>
      <w:numFmt w:val="upperLetter"/>
      <w:lvlText w:val="%3."/>
      <w:lvlJc w:val="left"/>
      <w:pPr>
        <w:ind w:left="1980" w:hanging="360"/>
      </w:pPr>
      <w:rPr>
        <w:rFonts w:hint="default"/>
        <w:color w:val="auto"/>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55851558"/>
    <w:multiLevelType w:val="hybridMultilevel"/>
    <w:tmpl w:val="786E7EA0"/>
    <w:lvl w:ilvl="0">
      <w:start w:val="1"/>
      <w:numFmt w:val="upperLetter"/>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E667197"/>
    <w:multiLevelType w:val="hybridMultilevel"/>
    <w:tmpl w:val="D910ECE4"/>
    <w:lvl w:ilvl="0">
      <w:start w:val="1"/>
      <w:numFmt w:val="upperLetter"/>
      <w:lvlText w:val="%1."/>
      <w:lvlJc w:val="left"/>
      <w:pPr>
        <w:ind w:left="720" w:hanging="360"/>
      </w:pPr>
      <w:rPr>
        <w:rFonts w:hint="default"/>
        <w:i w:val="0"/>
        <w:sz w:val="24"/>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6"/>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419"/>
    <w:rsid w:val="00002B4A"/>
    <w:rsid w:val="000042E5"/>
    <w:rsid w:val="00010057"/>
    <w:rsid w:val="00012064"/>
    <w:rsid w:val="000141FC"/>
    <w:rsid w:val="00014F6E"/>
    <w:rsid w:val="000203E6"/>
    <w:rsid w:val="00022571"/>
    <w:rsid w:val="000232DF"/>
    <w:rsid w:val="0002561E"/>
    <w:rsid w:val="00027F49"/>
    <w:rsid w:val="000333FF"/>
    <w:rsid w:val="00034AAD"/>
    <w:rsid w:val="000413E7"/>
    <w:rsid w:val="0004241D"/>
    <w:rsid w:val="00053460"/>
    <w:rsid w:val="000538D7"/>
    <w:rsid w:val="00055220"/>
    <w:rsid w:val="000557EC"/>
    <w:rsid w:val="0006798D"/>
    <w:rsid w:val="000741DD"/>
    <w:rsid w:val="00092135"/>
    <w:rsid w:val="00092B0C"/>
    <w:rsid w:val="00093B1E"/>
    <w:rsid w:val="00095E8F"/>
    <w:rsid w:val="00096230"/>
    <w:rsid w:val="00096710"/>
    <w:rsid w:val="000A2ED2"/>
    <w:rsid w:val="000A7E22"/>
    <w:rsid w:val="000B3F30"/>
    <w:rsid w:val="000B44C5"/>
    <w:rsid w:val="000B79F0"/>
    <w:rsid w:val="000D11B5"/>
    <w:rsid w:val="000D2DC5"/>
    <w:rsid w:val="000D5DD1"/>
    <w:rsid w:val="000E75E6"/>
    <w:rsid w:val="000F3A68"/>
    <w:rsid w:val="00110437"/>
    <w:rsid w:val="0011534F"/>
    <w:rsid w:val="00117AF9"/>
    <w:rsid w:val="00121F58"/>
    <w:rsid w:val="00123307"/>
    <w:rsid w:val="001405A6"/>
    <w:rsid w:val="00142BDD"/>
    <w:rsid w:val="00144927"/>
    <w:rsid w:val="00147AA1"/>
    <w:rsid w:val="00161D30"/>
    <w:rsid w:val="001621B2"/>
    <w:rsid w:val="00162A95"/>
    <w:rsid w:val="001678E8"/>
    <w:rsid w:val="00170E02"/>
    <w:rsid w:val="0017768A"/>
    <w:rsid w:val="00177B0A"/>
    <w:rsid w:val="001871A8"/>
    <w:rsid w:val="001A28D1"/>
    <w:rsid w:val="001B2242"/>
    <w:rsid w:val="001C0C22"/>
    <w:rsid w:val="001C0CC0"/>
    <w:rsid w:val="001C2AE8"/>
    <w:rsid w:val="001D3B68"/>
    <w:rsid w:val="001E1446"/>
    <w:rsid w:val="001E4529"/>
    <w:rsid w:val="001E6991"/>
    <w:rsid w:val="001F2E38"/>
    <w:rsid w:val="001F405B"/>
    <w:rsid w:val="001F4C08"/>
    <w:rsid w:val="00200A1B"/>
    <w:rsid w:val="00202045"/>
    <w:rsid w:val="00203ECD"/>
    <w:rsid w:val="0020678E"/>
    <w:rsid w:val="002113BD"/>
    <w:rsid w:val="00213516"/>
    <w:rsid w:val="00216994"/>
    <w:rsid w:val="0022037D"/>
    <w:rsid w:val="0022302D"/>
    <w:rsid w:val="00225233"/>
    <w:rsid w:val="00230144"/>
    <w:rsid w:val="002339E2"/>
    <w:rsid w:val="0023497B"/>
    <w:rsid w:val="00234CD0"/>
    <w:rsid w:val="00235DFF"/>
    <w:rsid w:val="002454BA"/>
    <w:rsid w:val="0025139E"/>
    <w:rsid w:val="00275586"/>
    <w:rsid w:val="002907BD"/>
    <w:rsid w:val="002A58F9"/>
    <w:rsid w:val="002B2CB6"/>
    <w:rsid w:val="002B2F98"/>
    <w:rsid w:val="002B7ADF"/>
    <w:rsid w:val="002C6057"/>
    <w:rsid w:val="002D3AB4"/>
    <w:rsid w:val="002D4D6A"/>
    <w:rsid w:val="002E0059"/>
    <w:rsid w:val="002E4C46"/>
    <w:rsid w:val="002E58D5"/>
    <w:rsid w:val="002F052D"/>
    <w:rsid w:val="002F6131"/>
    <w:rsid w:val="002F629F"/>
    <w:rsid w:val="00301107"/>
    <w:rsid w:val="00302EEC"/>
    <w:rsid w:val="00305238"/>
    <w:rsid w:val="00317419"/>
    <w:rsid w:val="003251CE"/>
    <w:rsid w:val="00331DAF"/>
    <w:rsid w:val="00337321"/>
    <w:rsid w:val="0034209C"/>
    <w:rsid w:val="00353116"/>
    <w:rsid w:val="00355BD8"/>
    <w:rsid w:val="003604C9"/>
    <w:rsid w:val="003657E0"/>
    <w:rsid w:val="00367C72"/>
    <w:rsid w:val="003829AD"/>
    <w:rsid w:val="00383DE0"/>
    <w:rsid w:val="00385566"/>
    <w:rsid w:val="00392AC6"/>
    <w:rsid w:val="003940C0"/>
    <w:rsid w:val="00394850"/>
    <w:rsid w:val="00394B58"/>
    <w:rsid w:val="003A4181"/>
    <w:rsid w:val="003A6214"/>
    <w:rsid w:val="003B0340"/>
    <w:rsid w:val="003B2604"/>
    <w:rsid w:val="003B2DED"/>
    <w:rsid w:val="003B55E1"/>
    <w:rsid w:val="003B7921"/>
    <w:rsid w:val="003C0D41"/>
    <w:rsid w:val="003C3320"/>
    <w:rsid w:val="003C4EAB"/>
    <w:rsid w:val="003D1996"/>
    <w:rsid w:val="003D4B5A"/>
    <w:rsid w:val="003D699D"/>
    <w:rsid w:val="003D7E5C"/>
    <w:rsid w:val="003E43AF"/>
    <w:rsid w:val="003E4E98"/>
    <w:rsid w:val="003E7A73"/>
    <w:rsid w:val="003F046E"/>
    <w:rsid w:val="003F3D61"/>
    <w:rsid w:val="003F613C"/>
    <w:rsid w:val="0040175F"/>
    <w:rsid w:val="00406094"/>
    <w:rsid w:val="0040688D"/>
    <w:rsid w:val="00420DDA"/>
    <w:rsid w:val="00420EC3"/>
    <w:rsid w:val="004254E3"/>
    <w:rsid w:val="00431953"/>
    <w:rsid w:val="00434F9D"/>
    <w:rsid w:val="004366FE"/>
    <w:rsid w:val="00440392"/>
    <w:rsid w:val="00441B3E"/>
    <w:rsid w:val="00443318"/>
    <w:rsid w:val="00452725"/>
    <w:rsid w:val="00453BFF"/>
    <w:rsid w:val="00455912"/>
    <w:rsid w:val="00456719"/>
    <w:rsid w:val="0045696F"/>
    <w:rsid w:val="0046043F"/>
    <w:rsid w:val="0047023E"/>
    <w:rsid w:val="00471854"/>
    <w:rsid w:val="00473A33"/>
    <w:rsid w:val="00474151"/>
    <w:rsid w:val="00477EEB"/>
    <w:rsid w:val="00487025"/>
    <w:rsid w:val="00491490"/>
    <w:rsid w:val="00492569"/>
    <w:rsid w:val="00494494"/>
    <w:rsid w:val="00494548"/>
    <w:rsid w:val="004969FA"/>
    <w:rsid w:val="004A2653"/>
    <w:rsid w:val="004A3231"/>
    <w:rsid w:val="004B5D19"/>
    <w:rsid w:val="004C04C7"/>
    <w:rsid w:val="004C123A"/>
    <w:rsid w:val="004C7FB3"/>
    <w:rsid w:val="004D0B3C"/>
    <w:rsid w:val="004D599E"/>
    <w:rsid w:val="004D6DD7"/>
    <w:rsid w:val="004F0C75"/>
    <w:rsid w:val="004F38BB"/>
    <w:rsid w:val="004F3D57"/>
    <w:rsid w:val="004F4D45"/>
    <w:rsid w:val="00500D99"/>
    <w:rsid w:val="00505ACE"/>
    <w:rsid w:val="00506DA7"/>
    <w:rsid w:val="00522273"/>
    <w:rsid w:val="0052406C"/>
    <w:rsid w:val="00526AE1"/>
    <w:rsid w:val="00527104"/>
    <w:rsid w:val="005324C0"/>
    <w:rsid w:val="005350F8"/>
    <w:rsid w:val="0053612C"/>
    <w:rsid w:val="00561E93"/>
    <w:rsid w:val="00564DEE"/>
    <w:rsid w:val="005672C6"/>
    <w:rsid w:val="0057441E"/>
    <w:rsid w:val="00586CF2"/>
    <w:rsid w:val="0059080B"/>
    <w:rsid w:val="0059503F"/>
    <w:rsid w:val="005A187E"/>
    <w:rsid w:val="005A1F13"/>
    <w:rsid w:val="005A5740"/>
    <w:rsid w:val="005A5D0D"/>
    <w:rsid w:val="005B05B7"/>
    <w:rsid w:val="005C2725"/>
    <w:rsid w:val="005D1DAD"/>
    <w:rsid w:val="005D2E71"/>
    <w:rsid w:val="005D6D05"/>
    <w:rsid w:val="005E26CA"/>
    <w:rsid w:val="005F09A7"/>
    <w:rsid w:val="005F48AF"/>
    <w:rsid w:val="006024A0"/>
    <w:rsid w:val="00602967"/>
    <w:rsid w:val="00604773"/>
    <w:rsid w:val="00606F11"/>
    <w:rsid w:val="00614AD3"/>
    <w:rsid w:val="00614B32"/>
    <w:rsid w:val="00625880"/>
    <w:rsid w:val="00627D07"/>
    <w:rsid w:val="00636ABF"/>
    <w:rsid w:val="006419AE"/>
    <w:rsid w:val="00641D9D"/>
    <w:rsid w:val="0065383D"/>
    <w:rsid w:val="006543F3"/>
    <w:rsid w:val="0066092F"/>
    <w:rsid w:val="006610D9"/>
    <w:rsid w:val="0066197B"/>
    <w:rsid w:val="00661C2C"/>
    <w:rsid w:val="0066277C"/>
    <w:rsid w:val="006678E3"/>
    <w:rsid w:val="00674419"/>
    <w:rsid w:val="006877D3"/>
    <w:rsid w:val="00687DD4"/>
    <w:rsid w:val="00690EA1"/>
    <w:rsid w:val="006928D3"/>
    <w:rsid w:val="00697860"/>
    <w:rsid w:val="006A627F"/>
    <w:rsid w:val="006B01C9"/>
    <w:rsid w:val="006B0AE7"/>
    <w:rsid w:val="006B7041"/>
    <w:rsid w:val="006B7FD7"/>
    <w:rsid w:val="006C190F"/>
    <w:rsid w:val="006C306D"/>
    <w:rsid w:val="006C472C"/>
    <w:rsid w:val="006C51A6"/>
    <w:rsid w:val="006C738F"/>
    <w:rsid w:val="006D24A0"/>
    <w:rsid w:val="006D5915"/>
    <w:rsid w:val="006D62BF"/>
    <w:rsid w:val="006D63D7"/>
    <w:rsid w:val="006D64D2"/>
    <w:rsid w:val="006D6FAE"/>
    <w:rsid w:val="006F1192"/>
    <w:rsid w:val="006F18EA"/>
    <w:rsid w:val="006F23A3"/>
    <w:rsid w:val="006F4FB5"/>
    <w:rsid w:val="006F5DA9"/>
    <w:rsid w:val="006F7A52"/>
    <w:rsid w:val="00702A73"/>
    <w:rsid w:val="00704756"/>
    <w:rsid w:val="00711249"/>
    <w:rsid w:val="00712CAA"/>
    <w:rsid w:val="00716A8B"/>
    <w:rsid w:val="007256EA"/>
    <w:rsid w:val="00730341"/>
    <w:rsid w:val="00730F76"/>
    <w:rsid w:val="00731298"/>
    <w:rsid w:val="00734936"/>
    <w:rsid w:val="00737BDC"/>
    <w:rsid w:val="00744A45"/>
    <w:rsid w:val="0075340F"/>
    <w:rsid w:val="00754C6D"/>
    <w:rsid w:val="00755096"/>
    <w:rsid w:val="00757698"/>
    <w:rsid w:val="00757A73"/>
    <w:rsid w:val="007703B4"/>
    <w:rsid w:val="00771682"/>
    <w:rsid w:val="0077440B"/>
    <w:rsid w:val="00775382"/>
    <w:rsid w:val="00776689"/>
    <w:rsid w:val="00777623"/>
    <w:rsid w:val="00780893"/>
    <w:rsid w:val="00783C4F"/>
    <w:rsid w:val="0078498F"/>
    <w:rsid w:val="007850AC"/>
    <w:rsid w:val="00786891"/>
    <w:rsid w:val="00790C22"/>
    <w:rsid w:val="007A1F0C"/>
    <w:rsid w:val="007A34A3"/>
    <w:rsid w:val="007A6B41"/>
    <w:rsid w:val="007B05F7"/>
    <w:rsid w:val="007B1358"/>
    <w:rsid w:val="007B557A"/>
    <w:rsid w:val="007B6CC8"/>
    <w:rsid w:val="007B7D9B"/>
    <w:rsid w:val="007C033A"/>
    <w:rsid w:val="007C185E"/>
    <w:rsid w:val="007C2053"/>
    <w:rsid w:val="007C2954"/>
    <w:rsid w:val="007C35BF"/>
    <w:rsid w:val="007C4420"/>
    <w:rsid w:val="007C6862"/>
    <w:rsid w:val="007C6D91"/>
    <w:rsid w:val="007C779C"/>
    <w:rsid w:val="007C7926"/>
    <w:rsid w:val="007D4F70"/>
    <w:rsid w:val="007E1802"/>
    <w:rsid w:val="007E4401"/>
    <w:rsid w:val="007E7CAB"/>
    <w:rsid w:val="007F06D2"/>
    <w:rsid w:val="007F21AD"/>
    <w:rsid w:val="007F2FED"/>
    <w:rsid w:val="007F6FB0"/>
    <w:rsid w:val="0080032A"/>
    <w:rsid w:val="0080148F"/>
    <w:rsid w:val="0080344C"/>
    <w:rsid w:val="00807D7A"/>
    <w:rsid w:val="00807F8A"/>
    <w:rsid w:val="00811A81"/>
    <w:rsid w:val="00812A10"/>
    <w:rsid w:val="00813ADF"/>
    <w:rsid w:val="00813B57"/>
    <w:rsid w:val="0081700D"/>
    <w:rsid w:val="008254C3"/>
    <w:rsid w:val="00833DBD"/>
    <w:rsid w:val="00837B12"/>
    <w:rsid w:val="00841282"/>
    <w:rsid w:val="008430A9"/>
    <w:rsid w:val="008513F8"/>
    <w:rsid w:val="0085327A"/>
    <w:rsid w:val="00854FBB"/>
    <w:rsid w:val="008552A3"/>
    <w:rsid w:val="00860D0B"/>
    <w:rsid w:val="00860F1E"/>
    <w:rsid w:val="00877556"/>
    <w:rsid w:val="00882652"/>
    <w:rsid w:val="008A344A"/>
    <w:rsid w:val="008A49D0"/>
    <w:rsid w:val="008A7A72"/>
    <w:rsid w:val="008B3B5A"/>
    <w:rsid w:val="008B3B69"/>
    <w:rsid w:val="008B4445"/>
    <w:rsid w:val="008C3825"/>
    <w:rsid w:val="008D15F9"/>
    <w:rsid w:val="008E2FB8"/>
    <w:rsid w:val="008F044A"/>
    <w:rsid w:val="008F42A5"/>
    <w:rsid w:val="009005E8"/>
    <w:rsid w:val="00910DF3"/>
    <w:rsid w:val="00911156"/>
    <w:rsid w:val="00914902"/>
    <w:rsid w:val="009172A9"/>
    <w:rsid w:val="00917386"/>
    <w:rsid w:val="00917D91"/>
    <w:rsid w:val="0092087E"/>
    <w:rsid w:val="00934153"/>
    <w:rsid w:val="00937A7E"/>
    <w:rsid w:val="00941222"/>
    <w:rsid w:val="00954B7B"/>
    <w:rsid w:val="00961CD9"/>
    <w:rsid w:val="00970273"/>
    <w:rsid w:val="00971D52"/>
    <w:rsid w:val="0097406E"/>
    <w:rsid w:val="0097702E"/>
    <w:rsid w:val="00990AAE"/>
    <w:rsid w:val="00991528"/>
    <w:rsid w:val="00997DC0"/>
    <w:rsid w:val="009A1941"/>
    <w:rsid w:val="009A5430"/>
    <w:rsid w:val="009B2B7E"/>
    <w:rsid w:val="009C15C4"/>
    <w:rsid w:val="009C462B"/>
    <w:rsid w:val="009C469D"/>
    <w:rsid w:val="009C7250"/>
    <w:rsid w:val="009D0A3D"/>
    <w:rsid w:val="009D2FAB"/>
    <w:rsid w:val="009D6D20"/>
    <w:rsid w:val="009E2480"/>
    <w:rsid w:val="009E3605"/>
    <w:rsid w:val="009F36A0"/>
    <w:rsid w:val="009F53F9"/>
    <w:rsid w:val="00A04EAE"/>
    <w:rsid w:val="00A05391"/>
    <w:rsid w:val="00A10F9D"/>
    <w:rsid w:val="00A14DFB"/>
    <w:rsid w:val="00A247ED"/>
    <w:rsid w:val="00A27570"/>
    <w:rsid w:val="00A317A9"/>
    <w:rsid w:val="00A35482"/>
    <w:rsid w:val="00A36FEA"/>
    <w:rsid w:val="00A40DFE"/>
    <w:rsid w:val="00A41149"/>
    <w:rsid w:val="00A43E98"/>
    <w:rsid w:val="00A5618B"/>
    <w:rsid w:val="00A56A03"/>
    <w:rsid w:val="00A56D57"/>
    <w:rsid w:val="00A57D6A"/>
    <w:rsid w:val="00A67174"/>
    <w:rsid w:val="00A73D6C"/>
    <w:rsid w:val="00A74ED6"/>
    <w:rsid w:val="00A75EDB"/>
    <w:rsid w:val="00A817C9"/>
    <w:rsid w:val="00A84C0B"/>
    <w:rsid w:val="00A86205"/>
    <w:rsid w:val="00A931C3"/>
    <w:rsid w:val="00A96E8C"/>
    <w:rsid w:val="00AB55FE"/>
    <w:rsid w:val="00AC2247"/>
    <w:rsid w:val="00AC3859"/>
    <w:rsid w:val="00AD0B2D"/>
    <w:rsid w:val="00AD3FE5"/>
    <w:rsid w:val="00AE05CC"/>
    <w:rsid w:val="00AE5005"/>
    <w:rsid w:val="00AF32B5"/>
    <w:rsid w:val="00B0066D"/>
    <w:rsid w:val="00B062F3"/>
    <w:rsid w:val="00B06A73"/>
    <w:rsid w:val="00B10D9F"/>
    <w:rsid w:val="00B11732"/>
    <w:rsid w:val="00B12172"/>
    <w:rsid w:val="00B16D95"/>
    <w:rsid w:val="00B17CB5"/>
    <w:rsid w:val="00B20316"/>
    <w:rsid w:val="00B233B5"/>
    <w:rsid w:val="00B2376A"/>
    <w:rsid w:val="00B334D4"/>
    <w:rsid w:val="00B34E3C"/>
    <w:rsid w:val="00B35C63"/>
    <w:rsid w:val="00B3702C"/>
    <w:rsid w:val="00B42FAE"/>
    <w:rsid w:val="00B453A0"/>
    <w:rsid w:val="00B45AD6"/>
    <w:rsid w:val="00B5034F"/>
    <w:rsid w:val="00B53029"/>
    <w:rsid w:val="00B62597"/>
    <w:rsid w:val="00B66B25"/>
    <w:rsid w:val="00B87BF5"/>
    <w:rsid w:val="00B909ED"/>
    <w:rsid w:val="00B944B4"/>
    <w:rsid w:val="00BA34B4"/>
    <w:rsid w:val="00BA3AD4"/>
    <w:rsid w:val="00BA5AD4"/>
    <w:rsid w:val="00BA6146"/>
    <w:rsid w:val="00BA771A"/>
    <w:rsid w:val="00BB3BC6"/>
    <w:rsid w:val="00BB531B"/>
    <w:rsid w:val="00BB6921"/>
    <w:rsid w:val="00BB7727"/>
    <w:rsid w:val="00BC2B28"/>
    <w:rsid w:val="00BC3182"/>
    <w:rsid w:val="00BC5027"/>
    <w:rsid w:val="00BE689F"/>
    <w:rsid w:val="00BF10E6"/>
    <w:rsid w:val="00BF331B"/>
    <w:rsid w:val="00BF4833"/>
    <w:rsid w:val="00C07764"/>
    <w:rsid w:val="00C10A93"/>
    <w:rsid w:val="00C162D9"/>
    <w:rsid w:val="00C1767E"/>
    <w:rsid w:val="00C1787B"/>
    <w:rsid w:val="00C1795C"/>
    <w:rsid w:val="00C20326"/>
    <w:rsid w:val="00C2405F"/>
    <w:rsid w:val="00C40569"/>
    <w:rsid w:val="00C433AA"/>
    <w:rsid w:val="00C439EC"/>
    <w:rsid w:val="00C5307B"/>
    <w:rsid w:val="00C57DDE"/>
    <w:rsid w:val="00C61363"/>
    <w:rsid w:val="00C61D3A"/>
    <w:rsid w:val="00C70B71"/>
    <w:rsid w:val="00C72168"/>
    <w:rsid w:val="00C757F4"/>
    <w:rsid w:val="00C75A9D"/>
    <w:rsid w:val="00C82556"/>
    <w:rsid w:val="00C83771"/>
    <w:rsid w:val="00C90596"/>
    <w:rsid w:val="00CA20B4"/>
    <w:rsid w:val="00CA21DD"/>
    <w:rsid w:val="00CA23E0"/>
    <w:rsid w:val="00CA49B9"/>
    <w:rsid w:val="00CB19DE"/>
    <w:rsid w:val="00CB475B"/>
    <w:rsid w:val="00CC1B47"/>
    <w:rsid w:val="00CD22CC"/>
    <w:rsid w:val="00CD2DFC"/>
    <w:rsid w:val="00CD572E"/>
    <w:rsid w:val="00CE0C70"/>
    <w:rsid w:val="00CE451E"/>
    <w:rsid w:val="00CF0A48"/>
    <w:rsid w:val="00CF3955"/>
    <w:rsid w:val="00CF3DC9"/>
    <w:rsid w:val="00CF487C"/>
    <w:rsid w:val="00CF739A"/>
    <w:rsid w:val="00D01B26"/>
    <w:rsid w:val="00D06EC8"/>
    <w:rsid w:val="00D07BC0"/>
    <w:rsid w:val="00D120C0"/>
    <w:rsid w:val="00D136EA"/>
    <w:rsid w:val="00D16F27"/>
    <w:rsid w:val="00D16F8E"/>
    <w:rsid w:val="00D21BD1"/>
    <w:rsid w:val="00D2244B"/>
    <w:rsid w:val="00D23973"/>
    <w:rsid w:val="00D242FB"/>
    <w:rsid w:val="00D24E40"/>
    <w:rsid w:val="00D251ED"/>
    <w:rsid w:val="00D25C0A"/>
    <w:rsid w:val="00D3076D"/>
    <w:rsid w:val="00D32840"/>
    <w:rsid w:val="00D4544C"/>
    <w:rsid w:val="00D615F0"/>
    <w:rsid w:val="00D616A5"/>
    <w:rsid w:val="00D66937"/>
    <w:rsid w:val="00D70A87"/>
    <w:rsid w:val="00D7328C"/>
    <w:rsid w:val="00D827A6"/>
    <w:rsid w:val="00D831E4"/>
    <w:rsid w:val="00D83CB7"/>
    <w:rsid w:val="00D92280"/>
    <w:rsid w:val="00D93AD5"/>
    <w:rsid w:val="00D95949"/>
    <w:rsid w:val="00DA23DE"/>
    <w:rsid w:val="00DA503D"/>
    <w:rsid w:val="00DB29E9"/>
    <w:rsid w:val="00DB722E"/>
    <w:rsid w:val="00DD19C0"/>
    <w:rsid w:val="00DD3C7B"/>
    <w:rsid w:val="00DD6B73"/>
    <w:rsid w:val="00DE338B"/>
    <w:rsid w:val="00DE34CF"/>
    <w:rsid w:val="00DE6969"/>
    <w:rsid w:val="00DE77B9"/>
    <w:rsid w:val="00DF1112"/>
    <w:rsid w:val="00DF5933"/>
    <w:rsid w:val="00DF6569"/>
    <w:rsid w:val="00E00FA6"/>
    <w:rsid w:val="00E074B0"/>
    <w:rsid w:val="00E12201"/>
    <w:rsid w:val="00E1605D"/>
    <w:rsid w:val="00E16ECD"/>
    <w:rsid w:val="00E27185"/>
    <w:rsid w:val="00E275DD"/>
    <w:rsid w:val="00E32B6B"/>
    <w:rsid w:val="00E3428B"/>
    <w:rsid w:val="00E50686"/>
    <w:rsid w:val="00E52017"/>
    <w:rsid w:val="00E523A9"/>
    <w:rsid w:val="00E523BE"/>
    <w:rsid w:val="00E52484"/>
    <w:rsid w:val="00E5387A"/>
    <w:rsid w:val="00E539FD"/>
    <w:rsid w:val="00E55E84"/>
    <w:rsid w:val="00E67D26"/>
    <w:rsid w:val="00E8011B"/>
    <w:rsid w:val="00E93FD6"/>
    <w:rsid w:val="00E946F8"/>
    <w:rsid w:val="00E968B6"/>
    <w:rsid w:val="00E976DD"/>
    <w:rsid w:val="00EA7325"/>
    <w:rsid w:val="00EB4453"/>
    <w:rsid w:val="00EB68B0"/>
    <w:rsid w:val="00EE16B7"/>
    <w:rsid w:val="00EF3C3D"/>
    <w:rsid w:val="00EF6C2A"/>
    <w:rsid w:val="00EF76A7"/>
    <w:rsid w:val="00F0536B"/>
    <w:rsid w:val="00F10ACF"/>
    <w:rsid w:val="00F13BA7"/>
    <w:rsid w:val="00F169E3"/>
    <w:rsid w:val="00F211B1"/>
    <w:rsid w:val="00F215F7"/>
    <w:rsid w:val="00F25052"/>
    <w:rsid w:val="00F31395"/>
    <w:rsid w:val="00F36662"/>
    <w:rsid w:val="00F36BF5"/>
    <w:rsid w:val="00F4190F"/>
    <w:rsid w:val="00F41F09"/>
    <w:rsid w:val="00F44D1D"/>
    <w:rsid w:val="00F45730"/>
    <w:rsid w:val="00F5077C"/>
    <w:rsid w:val="00F52B10"/>
    <w:rsid w:val="00F539EA"/>
    <w:rsid w:val="00F64959"/>
    <w:rsid w:val="00F65D9C"/>
    <w:rsid w:val="00F7755D"/>
    <w:rsid w:val="00FA3C6B"/>
    <w:rsid w:val="00FA5955"/>
    <w:rsid w:val="00FA78E0"/>
    <w:rsid w:val="00FA7EAA"/>
    <w:rsid w:val="00FB1739"/>
    <w:rsid w:val="00FB346B"/>
    <w:rsid w:val="00FB5DE3"/>
    <w:rsid w:val="00FC2AFD"/>
    <w:rsid w:val="00FC2B9A"/>
    <w:rsid w:val="00FC4BB4"/>
    <w:rsid w:val="00FC5D7B"/>
    <w:rsid w:val="00FD13AB"/>
    <w:rsid w:val="00FD4795"/>
    <w:rsid w:val="00FD6CE2"/>
    <w:rsid w:val="00FE410C"/>
    <w:rsid w:val="00FE6508"/>
    <w:rsid w:val="00FF0D09"/>
    <w:rsid w:val="00FF21CF"/>
    <w:rsid w:val="00FF28BA"/>
    <w:rsid w:val="00FF323D"/>
    <w:rsid w:val="00FF33D0"/>
    <w:rsid w:val="00FF5170"/>
    <w:rsid w:val="00FF5D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56E9EA"/>
  <w15:docId w15:val="{C5E9D3CE-67D9-4441-A75F-DB9E9B8A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styleId="ListParagraph">
    <w:name w:val="List Paragraph"/>
    <w:basedOn w:val="Normal"/>
    <w:uiPriority w:val="34"/>
    <w:qFormat/>
    <w:rsid w:val="00674419"/>
    <w:pPr>
      <w:spacing w:after="0" w:line="240" w:lineRule="auto"/>
      <w:ind w:left="720"/>
    </w:pPr>
    <w:rPr>
      <w:rFonts w:ascii="Calibri" w:eastAsia="Times New Roman" w:hAnsi="Calibri" w:cs="Calibri"/>
    </w:rPr>
  </w:style>
  <w:style w:type="character" w:styleId="CommentReference">
    <w:name w:val="annotation reference"/>
    <w:basedOn w:val="DefaultParagraphFont"/>
    <w:uiPriority w:val="99"/>
    <w:semiHidden/>
    <w:unhideWhenUsed/>
    <w:rsid w:val="00860F1E"/>
    <w:rPr>
      <w:sz w:val="16"/>
      <w:szCs w:val="16"/>
    </w:rPr>
  </w:style>
  <w:style w:type="paragraph" w:styleId="CommentText">
    <w:name w:val="annotation text"/>
    <w:basedOn w:val="Normal"/>
    <w:link w:val="CommentTextChar"/>
    <w:uiPriority w:val="99"/>
    <w:unhideWhenUsed/>
    <w:rsid w:val="00860F1E"/>
    <w:pPr>
      <w:spacing w:line="240" w:lineRule="auto"/>
    </w:pPr>
    <w:rPr>
      <w:sz w:val="20"/>
      <w:szCs w:val="20"/>
    </w:rPr>
  </w:style>
  <w:style w:type="character" w:customStyle="1" w:styleId="CommentTextChar">
    <w:name w:val="Comment Text Char"/>
    <w:basedOn w:val="DefaultParagraphFont"/>
    <w:link w:val="CommentText"/>
    <w:uiPriority w:val="99"/>
    <w:rsid w:val="00860F1E"/>
    <w:rPr>
      <w:sz w:val="20"/>
      <w:szCs w:val="20"/>
    </w:rPr>
  </w:style>
  <w:style w:type="paragraph" w:styleId="CommentSubject">
    <w:name w:val="annotation subject"/>
    <w:basedOn w:val="CommentText"/>
    <w:next w:val="CommentText"/>
    <w:link w:val="CommentSubjectChar"/>
    <w:uiPriority w:val="99"/>
    <w:semiHidden/>
    <w:unhideWhenUsed/>
    <w:rsid w:val="003A4181"/>
    <w:rPr>
      <w:b/>
      <w:bCs/>
    </w:rPr>
  </w:style>
  <w:style w:type="character" w:customStyle="1" w:styleId="CommentSubjectChar">
    <w:name w:val="Comment Subject Char"/>
    <w:basedOn w:val="CommentTextChar"/>
    <w:link w:val="CommentSubject"/>
    <w:uiPriority w:val="99"/>
    <w:semiHidden/>
    <w:rsid w:val="003A4181"/>
    <w:rPr>
      <w:b/>
      <w:bCs/>
      <w:sz w:val="20"/>
      <w:szCs w:val="20"/>
    </w:rPr>
  </w:style>
  <w:style w:type="paragraph" w:styleId="NormalWeb">
    <w:name w:val="Normal (Web)"/>
    <w:basedOn w:val="Normal"/>
    <w:uiPriority w:val="99"/>
    <w:unhideWhenUsed/>
    <w:rsid w:val="00EF76A7"/>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FF33D0"/>
    <w:pPr>
      <w:spacing w:after="0" w:line="240" w:lineRule="auto"/>
    </w:pPr>
  </w:style>
  <w:style w:type="paragraph" w:customStyle="1" w:styleId="BulletedTableEntry">
    <w:name w:val="Bulleted Table Entry"/>
    <w:basedOn w:val="Normal"/>
    <w:rsid w:val="007256EA"/>
    <w:pPr>
      <w:numPr>
        <w:numId w:val="4"/>
      </w:numPr>
    </w:pPr>
  </w:style>
  <w:style w:type="paragraph" w:customStyle="1" w:styleId="unorderedlist">
    <w:name w:val="unordered list"/>
    <w:basedOn w:val="ListParagraph"/>
    <w:link w:val="unorderedlistChar"/>
    <w:qFormat/>
    <w:rsid w:val="009F36A0"/>
    <w:pPr>
      <w:numPr>
        <w:numId w:val="6"/>
      </w:numPr>
      <w:spacing w:before="120" w:after="120"/>
    </w:pPr>
    <w:rPr>
      <w:rFonts w:ascii="Arial Narrow" w:hAnsi="Arial Narrow" w:eastAsiaTheme="minorHAnsi" w:cstheme="minorBidi"/>
    </w:rPr>
  </w:style>
  <w:style w:type="character" w:customStyle="1" w:styleId="unorderedlistChar">
    <w:name w:val="unordered list Char"/>
    <w:basedOn w:val="DefaultParagraphFont"/>
    <w:link w:val="unorderedlist"/>
    <w:rsid w:val="009F36A0"/>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learn.pjm.com/"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media/DotCom/committees-groups/pjm-antitrust-guidelinesw-for-the-stakeholder-meetings.pdf" TargetMode="External" /><Relationship Id="rId5" Type="http://schemas.openxmlformats.org/officeDocument/2006/relationships/hyperlink" Target="https://www.pjm.com/committees-and-groups" TargetMode="External" /><Relationship Id="rId6" Type="http://schemas.openxmlformats.org/officeDocument/2006/relationships/hyperlink" Target="https://www.pjm.com/about-pjm/who-we-are/code-of-conduct" TargetMode="Externa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s://www.pjm.com/committees-and-groups/committees/form-facilitator-feedback.aspx"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