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DF22D3">
        <w:t>December</w:t>
      </w:r>
      <w:r w:rsidR="00753345">
        <w:t xml:space="preserve"> 1</w:t>
      </w:r>
      <w:r w:rsidR="00DF22D3">
        <w:t>2</w:t>
      </w:r>
      <w:r w:rsidRPr="000932DD" w:rsidR="000932DD">
        <w:rPr>
          <w:vertAlign w:val="superscript"/>
        </w:rPr>
        <w:t>th</w:t>
      </w:r>
      <w:r w:rsidRPr="00C814F0" w:rsidR="002B2F98">
        <w:t xml:space="preserve">, </w:t>
      </w:r>
      <w:r w:rsidRPr="00C814F0" w:rsidR="00010057">
        <w:t>20</w:t>
      </w:r>
      <w:r w:rsidR="00C561FC">
        <w:t>2</w:t>
      </w:r>
      <w:r w:rsidR="00DF22D3">
        <w:t>5</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DF22D3" w:rsidRPr="00DF22D3" w:rsidP="00DF22D3">
      <w:pPr>
        <w:pStyle w:val="PrimaryHeading"/>
      </w:pPr>
      <w:r>
        <w:t>RTEP Updates</w:t>
      </w:r>
    </w:p>
    <w:p w:rsidR="00DF22D3" w:rsidRPr="00060464" w:rsidP="00060464">
      <w:pPr>
        <w:pStyle w:val="ListSubhead1"/>
        <w:numPr>
          <w:ilvl w:val="0"/>
          <w:numId w:val="33"/>
        </w:numPr>
        <w:spacing w:after="0"/>
        <w:rPr>
          <w:szCs w:val="24"/>
        </w:rPr>
      </w:pPr>
      <w:r w:rsidRPr="00060464">
        <w:rPr>
          <w:szCs w:val="24"/>
        </w:rPr>
        <w:t xml:space="preserve">ODEC Local Planning Assumptions </w:t>
      </w:r>
    </w:p>
    <w:p w:rsidR="00DF22D3" w:rsidP="00DF22D3">
      <w:pPr>
        <w:pStyle w:val="ListSubhead1"/>
        <w:numPr>
          <w:ilvl w:val="0"/>
          <w:numId w:val="0"/>
        </w:numPr>
        <w:spacing w:after="0"/>
        <w:ind w:left="360"/>
        <w:rPr>
          <w:b w:val="0"/>
          <w:szCs w:val="24"/>
        </w:rPr>
      </w:pPr>
      <w:r>
        <w:rPr>
          <w:b w:val="0"/>
          <w:szCs w:val="24"/>
        </w:rPr>
        <w:t xml:space="preserve">ODEC will present 2025 Local Planning Assumptions </w:t>
      </w:r>
    </w:p>
    <w:p w:rsidR="00DF22D3" w:rsidP="00DF22D3">
      <w:pPr>
        <w:pStyle w:val="ListSubhead1"/>
        <w:numPr>
          <w:ilvl w:val="0"/>
          <w:numId w:val="0"/>
        </w:numPr>
        <w:spacing w:after="0"/>
        <w:ind w:left="360"/>
        <w:rPr>
          <w:b w:val="0"/>
          <w:szCs w:val="24"/>
        </w:rPr>
      </w:pPr>
    </w:p>
    <w:p w:rsidR="00DF22D3" w:rsidRPr="00F1598C" w:rsidP="00DF22D3">
      <w:pPr>
        <w:pStyle w:val="ListSubhead1"/>
        <w:spacing w:after="0"/>
        <w:rPr>
          <w:szCs w:val="24"/>
        </w:rPr>
      </w:pPr>
      <w:r>
        <w:rPr>
          <w:szCs w:val="24"/>
        </w:rPr>
        <w:t xml:space="preserve">Exelon Mid-Atlantic Local Planning Assumptions </w:t>
      </w:r>
    </w:p>
    <w:p w:rsidR="00DF22D3" w:rsidP="00DF22D3">
      <w:pPr>
        <w:pStyle w:val="ListSubhead1"/>
        <w:numPr>
          <w:ilvl w:val="0"/>
          <w:numId w:val="0"/>
        </w:numPr>
        <w:spacing w:after="0"/>
        <w:ind w:left="360"/>
        <w:rPr>
          <w:b w:val="0"/>
          <w:szCs w:val="24"/>
        </w:rPr>
      </w:pPr>
      <w:r>
        <w:rPr>
          <w:b w:val="0"/>
          <w:szCs w:val="24"/>
        </w:rPr>
        <w:t>Exelon will present 2025 Local Planning Assumptions</w:t>
      </w:r>
    </w:p>
    <w:p w:rsidR="00DF22D3" w:rsidP="00DF22D3">
      <w:pPr>
        <w:pStyle w:val="ListSubhead1"/>
        <w:numPr>
          <w:ilvl w:val="0"/>
          <w:numId w:val="0"/>
        </w:numPr>
        <w:spacing w:after="0"/>
        <w:ind w:left="360"/>
        <w:rPr>
          <w:b w:val="0"/>
          <w:szCs w:val="24"/>
        </w:rPr>
      </w:pPr>
      <w:r>
        <w:rPr>
          <w:b w:val="0"/>
          <w:szCs w:val="24"/>
        </w:rPr>
        <w:t xml:space="preserve"> </w:t>
      </w:r>
    </w:p>
    <w:p w:rsidR="00DF22D3" w:rsidRPr="00F1598C" w:rsidP="00DF22D3">
      <w:pPr>
        <w:pStyle w:val="ListSubhead1"/>
        <w:spacing w:after="0"/>
        <w:rPr>
          <w:szCs w:val="24"/>
        </w:rPr>
      </w:pPr>
      <w:r>
        <w:rPr>
          <w:szCs w:val="24"/>
        </w:rPr>
        <w:t xml:space="preserve">PPL Local Planning Assumptions </w:t>
      </w:r>
    </w:p>
    <w:p w:rsidR="00060464" w:rsidP="00060464">
      <w:pPr>
        <w:pStyle w:val="ListSubhead1"/>
        <w:numPr>
          <w:ilvl w:val="0"/>
          <w:numId w:val="0"/>
        </w:numPr>
        <w:spacing w:after="0"/>
        <w:ind w:left="360"/>
        <w:rPr>
          <w:b w:val="0"/>
          <w:szCs w:val="24"/>
        </w:rPr>
      </w:pPr>
      <w:r>
        <w:rPr>
          <w:b w:val="0"/>
          <w:szCs w:val="24"/>
        </w:rPr>
        <w:t>PPL will present 2025 Local Planning Assumptions</w:t>
      </w:r>
    </w:p>
    <w:p w:rsidR="00060464" w:rsidP="00060464">
      <w:pPr>
        <w:pStyle w:val="ListSubhead1"/>
        <w:numPr>
          <w:ilvl w:val="0"/>
          <w:numId w:val="0"/>
        </w:numPr>
        <w:spacing w:after="0"/>
        <w:ind w:left="360"/>
        <w:rPr>
          <w:b w:val="0"/>
          <w:szCs w:val="24"/>
        </w:rPr>
      </w:pPr>
    </w:p>
    <w:p w:rsidR="00060464" w:rsidRPr="00F1598C" w:rsidP="00060464">
      <w:pPr>
        <w:pStyle w:val="ListSubhead1"/>
        <w:spacing w:after="0"/>
        <w:rPr>
          <w:szCs w:val="24"/>
        </w:rPr>
      </w:pPr>
      <w:r>
        <w:rPr>
          <w:szCs w:val="24"/>
        </w:rPr>
        <w:t>UGI</w:t>
      </w:r>
      <w:r>
        <w:rPr>
          <w:szCs w:val="24"/>
        </w:rPr>
        <w:t xml:space="preserve"> Local Planning Assumptions </w:t>
      </w:r>
    </w:p>
    <w:p w:rsidR="00060464" w:rsidP="00060464">
      <w:pPr>
        <w:pStyle w:val="ListSubhead1"/>
        <w:numPr>
          <w:ilvl w:val="0"/>
          <w:numId w:val="0"/>
        </w:numPr>
        <w:spacing w:after="0"/>
        <w:ind w:left="360"/>
        <w:rPr>
          <w:b w:val="0"/>
          <w:szCs w:val="24"/>
        </w:rPr>
      </w:pPr>
      <w:r>
        <w:rPr>
          <w:b w:val="0"/>
          <w:szCs w:val="24"/>
        </w:rPr>
        <w:t>UGI</w:t>
      </w:r>
      <w:bookmarkStart w:id="2" w:name="_GoBack"/>
      <w:bookmarkEnd w:id="2"/>
      <w:r>
        <w:rPr>
          <w:b w:val="0"/>
          <w:szCs w:val="24"/>
        </w:rPr>
        <w:t xml:space="preserve"> will present 2025 Local Planning Assumptions</w:t>
      </w:r>
      <w:r w:rsidR="00DF22D3">
        <w:rPr>
          <w:b w:val="0"/>
          <w:szCs w:val="24"/>
        </w:rPr>
        <w:t xml:space="preserve"> </w:t>
      </w:r>
    </w:p>
    <w:p w:rsidR="00DF22D3" w:rsidP="00DF22D3">
      <w:pPr>
        <w:pStyle w:val="ListSubhead1"/>
        <w:numPr>
          <w:ilvl w:val="0"/>
          <w:numId w:val="0"/>
        </w:numPr>
        <w:spacing w:after="0"/>
        <w:ind w:left="360"/>
        <w:rPr>
          <w:b w:val="0"/>
          <w:szCs w:val="24"/>
        </w:rPr>
      </w:pPr>
    </w:p>
    <w:p w:rsidR="00DF22D3" w:rsidRPr="00F1598C" w:rsidP="00DF22D3">
      <w:pPr>
        <w:pStyle w:val="ListSubhead1"/>
        <w:spacing w:after="0"/>
        <w:rPr>
          <w:szCs w:val="24"/>
        </w:rPr>
      </w:pPr>
      <w:r>
        <w:rPr>
          <w:szCs w:val="24"/>
        </w:rPr>
        <w:t xml:space="preserve">PSEG Local Planning Assumptions </w:t>
      </w:r>
    </w:p>
    <w:p w:rsidR="00DF22D3" w:rsidP="00DF22D3">
      <w:pPr>
        <w:pStyle w:val="ListSubhead1"/>
        <w:numPr>
          <w:ilvl w:val="0"/>
          <w:numId w:val="0"/>
        </w:numPr>
        <w:spacing w:after="0"/>
        <w:ind w:left="360"/>
        <w:rPr>
          <w:b w:val="0"/>
          <w:szCs w:val="24"/>
        </w:rPr>
      </w:pPr>
      <w:r>
        <w:rPr>
          <w:b w:val="0"/>
          <w:szCs w:val="24"/>
        </w:rPr>
        <w:t>PSEG will present 2025 Local Planning Assumptions</w:t>
      </w:r>
    </w:p>
    <w:p w:rsidR="00DF22D3" w:rsidP="00DF22D3">
      <w:pPr>
        <w:pStyle w:val="ListSubhead1"/>
        <w:numPr>
          <w:ilvl w:val="0"/>
          <w:numId w:val="0"/>
        </w:numPr>
        <w:spacing w:after="0"/>
        <w:ind w:left="360"/>
        <w:rPr>
          <w:b w:val="0"/>
          <w:szCs w:val="24"/>
        </w:rPr>
      </w:pPr>
    </w:p>
    <w:p w:rsidR="00DF22D3" w:rsidRPr="00F1598C" w:rsidP="00DF22D3">
      <w:pPr>
        <w:pStyle w:val="ListSubhead1"/>
        <w:spacing w:after="0"/>
        <w:rPr>
          <w:szCs w:val="24"/>
        </w:rPr>
      </w:pPr>
      <w:r>
        <w:rPr>
          <w:szCs w:val="24"/>
        </w:rPr>
        <w:t xml:space="preserve">RECO Local Planning Assumptions </w:t>
      </w:r>
    </w:p>
    <w:p w:rsidR="00DF22D3" w:rsidP="00DF22D3">
      <w:pPr>
        <w:pStyle w:val="ListSubhead1"/>
        <w:numPr>
          <w:ilvl w:val="0"/>
          <w:numId w:val="0"/>
        </w:numPr>
        <w:spacing w:after="0"/>
        <w:ind w:left="360"/>
        <w:rPr>
          <w:b w:val="0"/>
          <w:szCs w:val="24"/>
        </w:rPr>
      </w:pPr>
      <w:r>
        <w:rPr>
          <w:b w:val="0"/>
          <w:szCs w:val="24"/>
        </w:rPr>
        <w:t>RECO will present 2025 Local Planning Assumptions</w:t>
      </w:r>
    </w:p>
    <w:p w:rsidR="00DF22D3" w:rsidP="00DF22D3">
      <w:pPr>
        <w:pStyle w:val="ListSubhead1"/>
        <w:numPr>
          <w:ilvl w:val="0"/>
          <w:numId w:val="0"/>
        </w:numPr>
        <w:spacing w:after="0"/>
        <w:ind w:left="360"/>
        <w:rPr>
          <w:b w:val="0"/>
          <w:szCs w:val="24"/>
        </w:rPr>
      </w:pPr>
    </w:p>
    <w:p w:rsidR="00DF22D3" w:rsidRPr="00F1598C" w:rsidP="00DF22D3">
      <w:pPr>
        <w:pStyle w:val="ListSubhead1"/>
        <w:spacing w:after="0"/>
        <w:rPr>
          <w:szCs w:val="24"/>
        </w:rPr>
      </w:pPr>
      <w:r>
        <w:rPr>
          <w:szCs w:val="24"/>
        </w:rPr>
        <w:t xml:space="preserve">First Energy Mid-Atlantic Local Planning Assumptions </w:t>
      </w:r>
    </w:p>
    <w:p w:rsidR="00DF22D3" w:rsidP="00DF22D3">
      <w:pPr>
        <w:pStyle w:val="ListSubhead1"/>
        <w:numPr>
          <w:ilvl w:val="0"/>
          <w:numId w:val="0"/>
        </w:numPr>
        <w:spacing w:after="0"/>
        <w:ind w:left="360"/>
        <w:rPr>
          <w:b w:val="0"/>
          <w:szCs w:val="24"/>
        </w:rPr>
      </w:pPr>
      <w:r>
        <w:rPr>
          <w:b w:val="0"/>
          <w:szCs w:val="24"/>
        </w:rPr>
        <w:t>First Energy will present 2024 Local Planning Assumptions</w:t>
      </w:r>
    </w:p>
    <w:p w:rsidR="00DF22D3" w:rsidRPr="00DF22D3" w:rsidP="00DF22D3">
      <w:pPr>
        <w:pStyle w:val="ListSubhead1"/>
        <w:numPr>
          <w:ilvl w:val="0"/>
          <w:numId w:val="0"/>
        </w:numPr>
        <w:spacing w:after="0"/>
        <w:rPr>
          <w:szCs w:val="24"/>
        </w:rPr>
      </w:pPr>
    </w:p>
    <w:p w:rsidR="00DF22D3" w:rsidRPr="00F1598C" w:rsidP="00DF22D3">
      <w:pPr>
        <w:pStyle w:val="ListSubhead1"/>
        <w:spacing w:after="0"/>
        <w:rPr>
          <w:szCs w:val="24"/>
        </w:rPr>
      </w:pPr>
      <w:r>
        <w:rPr>
          <w:szCs w:val="24"/>
        </w:rPr>
        <w:t>JCPL Supplemental Projects</w:t>
      </w:r>
    </w:p>
    <w:p w:rsidR="00DF22D3" w:rsidP="00DF22D3">
      <w:pPr>
        <w:pStyle w:val="ListSubhead1"/>
        <w:numPr>
          <w:ilvl w:val="0"/>
          <w:numId w:val="0"/>
        </w:numPr>
        <w:spacing w:after="0"/>
        <w:ind w:left="360"/>
        <w:rPr>
          <w:b w:val="0"/>
          <w:szCs w:val="24"/>
        </w:rPr>
      </w:pPr>
      <w:r>
        <w:rPr>
          <w:b w:val="0"/>
          <w:szCs w:val="24"/>
        </w:rPr>
        <w:t>JCPL</w:t>
      </w:r>
      <w:r w:rsidRPr="00F1598C">
        <w:rPr>
          <w:b w:val="0"/>
          <w:szCs w:val="24"/>
        </w:rPr>
        <w:t xml:space="preserve"> will present </w:t>
      </w:r>
      <w:r>
        <w:rPr>
          <w:b w:val="0"/>
          <w:szCs w:val="24"/>
        </w:rPr>
        <w:t xml:space="preserve">2 needs </w:t>
      </w:r>
    </w:p>
    <w:p w:rsidR="00DF22D3" w:rsidP="00DF22D3">
      <w:pPr>
        <w:pStyle w:val="ListSubhead1"/>
        <w:numPr>
          <w:ilvl w:val="0"/>
          <w:numId w:val="0"/>
        </w:numPr>
        <w:spacing w:after="0"/>
        <w:ind w:left="360"/>
        <w:rPr>
          <w:b w:val="0"/>
          <w:szCs w:val="24"/>
        </w:rPr>
      </w:pPr>
    </w:p>
    <w:p w:rsidR="00DF22D3" w:rsidRPr="00F1598C" w:rsidP="00DF22D3">
      <w:pPr>
        <w:pStyle w:val="ListSubhead1"/>
        <w:spacing w:after="0"/>
        <w:rPr>
          <w:szCs w:val="24"/>
        </w:rPr>
      </w:pPr>
      <w:r>
        <w:rPr>
          <w:szCs w:val="24"/>
        </w:rPr>
        <w:t>METED Supplemental Projects</w:t>
      </w:r>
    </w:p>
    <w:p w:rsidR="00DF22D3" w:rsidP="00DF22D3">
      <w:pPr>
        <w:pStyle w:val="ListSubhead1"/>
        <w:numPr>
          <w:ilvl w:val="0"/>
          <w:numId w:val="0"/>
        </w:numPr>
        <w:spacing w:after="0"/>
        <w:ind w:left="360"/>
        <w:rPr>
          <w:b w:val="0"/>
          <w:szCs w:val="24"/>
        </w:rPr>
      </w:pPr>
      <w:r>
        <w:rPr>
          <w:b w:val="0"/>
          <w:szCs w:val="24"/>
        </w:rPr>
        <w:t>MetEd</w:t>
      </w:r>
      <w:r w:rsidRPr="00F1598C">
        <w:rPr>
          <w:b w:val="0"/>
          <w:szCs w:val="24"/>
        </w:rPr>
        <w:t xml:space="preserve"> will present </w:t>
      </w:r>
      <w:r>
        <w:rPr>
          <w:b w:val="0"/>
          <w:szCs w:val="24"/>
        </w:rPr>
        <w:t>1 need and 2 potential solutions</w:t>
      </w:r>
    </w:p>
    <w:p w:rsidR="00DF22D3" w:rsidP="00DF22D3">
      <w:pPr>
        <w:pStyle w:val="ListSubhead1"/>
        <w:numPr>
          <w:ilvl w:val="0"/>
          <w:numId w:val="0"/>
        </w:numPr>
        <w:spacing w:after="0"/>
        <w:ind w:left="360"/>
        <w:rPr>
          <w:b w:val="0"/>
          <w:szCs w:val="24"/>
        </w:rPr>
      </w:pPr>
    </w:p>
    <w:p w:rsidR="00DF22D3" w:rsidRPr="00F1598C" w:rsidP="00DF22D3">
      <w:pPr>
        <w:pStyle w:val="ListSubhead1"/>
        <w:spacing w:after="0"/>
        <w:rPr>
          <w:szCs w:val="24"/>
        </w:rPr>
      </w:pPr>
      <w:r>
        <w:rPr>
          <w:szCs w:val="24"/>
        </w:rPr>
        <w:t>PSEG Supplemental Projects</w:t>
      </w:r>
    </w:p>
    <w:p w:rsidR="00DF22D3" w:rsidP="00DF22D3">
      <w:pPr>
        <w:pStyle w:val="ListSubhead1"/>
        <w:numPr>
          <w:ilvl w:val="0"/>
          <w:numId w:val="0"/>
        </w:numPr>
        <w:spacing w:after="0"/>
        <w:ind w:left="360"/>
        <w:rPr>
          <w:b w:val="0"/>
          <w:szCs w:val="24"/>
        </w:rPr>
      </w:pPr>
      <w:r>
        <w:rPr>
          <w:b w:val="0"/>
          <w:szCs w:val="24"/>
        </w:rPr>
        <w:t>PSEG will present 3 needs</w:t>
      </w:r>
    </w:p>
    <w:p w:rsidR="00DF22D3" w:rsidP="00DF22D3">
      <w:pPr>
        <w:pStyle w:val="ListSubhead1"/>
        <w:numPr>
          <w:ilvl w:val="0"/>
          <w:numId w:val="0"/>
        </w:numPr>
        <w:spacing w:after="0"/>
        <w:ind w:left="360"/>
        <w:rPr>
          <w:b w:val="0"/>
          <w:szCs w:val="24"/>
        </w:rPr>
      </w:pPr>
    </w:p>
    <w:p w:rsidR="00DF22D3" w:rsidRPr="00F1598C" w:rsidP="00DF22D3">
      <w:pPr>
        <w:pStyle w:val="ListSubhead1"/>
        <w:spacing w:after="0"/>
        <w:rPr>
          <w:szCs w:val="24"/>
        </w:rPr>
      </w:pPr>
      <w:r>
        <w:rPr>
          <w:szCs w:val="24"/>
        </w:rPr>
        <w:t>BGE Supplemental Projects</w:t>
      </w:r>
    </w:p>
    <w:p w:rsidR="00DF22D3" w:rsidP="00DF22D3">
      <w:pPr>
        <w:pStyle w:val="ListSubhead1"/>
        <w:numPr>
          <w:ilvl w:val="0"/>
          <w:numId w:val="0"/>
        </w:numPr>
        <w:spacing w:after="0"/>
        <w:ind w:left="360"/>
        <w:rPr>
          <w:b w:val="0"/>
          <w:szCs w:val="24"/>
        </w:rPr>
      </w:pPr>
      <w:r>
        <w:rPr>
          <w:b w:val="0"/>
          <w:szCs w:val="24"/>
        </w:rPr>
        <w:t>BGE</w:t>
      </w:r>
      <w:r w:rsidRPr="00F1598C">
        <w:rPr>
          <w:b w:val="0"/>
          <w:szCs w:val="24"/>
        </w:rPr>
        <w:t xml:space="preserve"> will present </w:t>
      </w:r>
      <w:r>
        <w:rPr>
          <w:b w:val="0"/>
          <w:szCs w:val="24"/>
        </w:rPr>
        <w:t>9 needs</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D97777" w:rsidP="00DF22D3">
            <w:pPr>
              <w:rPr>
                <w:rFonts w:ascii="Arial Narrow" w:eastAsia="Times New Roman" w:hAnsi="Arial Narrow" w:cs="Calibri"/>
                <w:color w:val="000000"/>
                <w:sz w:val="18"/>
              </w:rPr>
            </w:pPr>
            <w:r>
              <w:rPr>
                <w:rFonts w:ascii="Arial Narrow" w:eastAsia="Times New Roman" w:hAnsi="Arial Narrow" w:cs="Calibri"/>
                <w:color w:val="000000"/>
                <w:sz w:val="18"/>
              </w:rPr>
              <w:t>January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6</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2025</w:t>
            </w:r>
          </w:p>
        </w:tc>
        <w:tc>
          <w:tcPr>
            <w:tcW w:w="4256"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D97777" w:rsidP="00DF22D3">
            <w:pPr>
              <w:rPr>
                <w:rFonts w:ascii="Arial Narrow" w:eastAsia="Times New Roman" w:hAnsi="Arial Narrow" w:cs="Calibri"/>
                <w:color w:val="000000"/>
                <w:sz w:val="18"/>
              </w:rPr>
            </w:pPr>
            <w:r>
              <w:rPr>
                <w:rFonts w:ascii="Arial Narrow" w:eastAsia="Times New Roman" w:hAnsi="Arial Narrow" w:cs="Calibri"/>
                <w:color w:val="000000"/>
                <w:sz w:val="18"/>
              </w:rPr>
              <w:t>February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3</w:t>
            </w:r>
            <w:r w:rsidRPr="00D04A8D">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2025</w:t>
            </w:r>
          </w:p>
        </w:tc>
        <w:tc>
          <w:tcPr>
            <w:tcW w:w="4256"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77212" w:rsidP="00DF22D3">
            <w:pPr>
              <w:rPr>
                <w:rFonts w:ascii="Arial Narrow" w:eastAsia="Times New Roman" w:hAnsi="Arial Narrow" w:cs="Calibri"/>
                <w:color w:val="000000"/>
                <w:sz w:val="18"/>
              </w:rPr>
            </w:pPr>
            <w:r>
              <w:rPr>
                <w:rFonts w:ascii="Arial Narrow" w:eastAsia="Times New Roman" w:hAnsi="Arial Narrow" w:cs="Calibri"/>
                <w:color w:val="000000"/>
                <w:sz w:val="18"/>
              </w:rPr>
              <w:t>March 13</w:t>
            </w:r>
            <w:r w:rsidRPr="00D04A8D" w:rsidR="00D04A8D">
              <w:rPr>
                <w:rFonts w:ascii="Arial Narrow" w:eastAsia="Times New Roman" w:hAnsi="Arial Narrow" w:cs="Calibri"/>
                <w:color w:val="000000"/>
                <w:sz w:val="18"/>
                <w:vertAlign w:val="superscript"/>
              </w:rPr>
              <w:t>th</w:t>
            </w:r>
            <w:r w:rsidR="00D04A8D">
              <w:rPr>
                <w:rFonts w:ascii="Arial Narrow" w:eastAsia="Times New Roman" w:hAnsi="Arial Narrow" w:cs="Calibri"/>
                <w:color w:val="000000"/>
                <w:sz w:val="18"/>
              </w:rPr>
              <w:t>, 202</w:t>
            </w:r>
            <w:r>
              <w:rPr>
                <w:rFonts w:ascii="Arial Narrow" w:eastAsia="Times New Roman" w:hAnsi="Arial Narrow" w:cs="Calibri"/>
                <w:color w:val="000000"/>
                <w:sz w:val="18"/>
              </w:rPr>
              <w:t>5</w:t>
            </w:r>
          </w:p>
        </w:tc>
        <w:tc>
          <w:tcPr>
            <w:tcW w:w="4256" w:type="dxa"/>
            <w:noWrap/>
          </w:tcPr>
          <w:p w:rsidR="00577212"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7721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77212" w:rsidRPr="00A746C2" w:rsidP="0057721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0464">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577212">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num>
  <w:num w:numId="3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0464"/>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569CD"/>
    <w:rsid w:val="00564DEE"/>
    <w:rsid w:val="005720CD"/>
    <w:rsid w:val="0057441E"/>
    <w:rsid w:val="00577212"/>
    <w:rsid w:val="00581A41"/>
    <w:rsid w:val="00581B5D"/>
    <w:rsid w:val="00587192"/>
    <w:rsid w:val="00592159"/>
    <w:rsid w:val="00594706"/>
    <w:rsid w:val="00595717"/>
    <w:rsid w:val="00597A45"/>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A2C05"/>
    <w:rsid w:val="006B095E"/>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3345"/>
    <w:rsid w:val="00754C6D"/>
    <w:rsid w:val="00755096"/>
    <w:rsid w:val="00772D24"/>
    <w:rsid w:val="00773DD9"/>
    <w:rsid w:val="007772B9"/>
    <w:rsid w:val="00787DD6"/>
    <w:rsid w:val="00792432"/>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66316"/>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4B7"/>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961F4"/>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04A8D"/>
    <w:rsid w:val="00D136EA"/>
    <w:rsid w:val="00D20E23"/>
    <w:rsid w:val="00D251ED"/>
    <w:rsid w:val="00D511A0"/>
    <w:rsid w:val="00D54D9C"/>
    <w:rsid w:val="00D6060F"/>
    <w:rsid w:val="00D66690"/>
    <w:rsid w:val="00D95949"/>
    <w:rsid w:val="00D97777"/>
    <w:rsid w:val="00DA4F15"/>
    <w:rsid w:val="00DB29E9"/>
    <w:rsid w:val="00DD2FC4"/>
    <w:rsid w:val="00DD33D1"/>
    <w:rsid w:val="00DD657B"/>
    <w:rsid w:val="00DE34CF"/>
    <w:rsid w:val="00DE37B5"/>
    <w:rsid w:val="00DF22D3"/>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6B6F5C"/>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