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7AFBCB32">
      <w:pPr>
        <w:pStyle w:val="PostingDate"/>
        <w:rPr>
          <w:sz w:val="16"/>
        </w:rPr>
      </w:pPr>
      <w:r>
        <w:t>As of</w:t>
      </w:r>
      <w:r w:rsidR="0056775C">
        <w:t xml:space="preserve"> </w:t>
      </w:r>
      <w:r w:rsidR="00E671BF">
        <w:t xml:space="preserve">October </w:t>
      </w:r>
      <w:r w:rsidR="00365766">
        <w:t>13</w:t>
      </w:r>
      <w:r w:rsidRPr="0056775C" w:rsidR="0056775C">
        <w:rPr>
          <w:vertAlign w:val="superscript"/>
        </w:rPr>
        <w:t>th</w:t>
      </w:r>
      <w:r>
        <w:t>, 202</w:t>
      </w:r>
      <w:r w:rsidR="009B2B7E">
        <w:t>5</w:t>
      </w:r>
      <w:r w:rsidR="0056775C">
        <w:t xml:space="preserve">  </w:t>
      </w:r>
    </w:p>
    <w:p w:rsidR="00260F75" w:rsidRPr="00C814F0" w:rsidP="00260F75" w14:paraId="7AF4ADA3"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Mid-Atlantic</w:t>
      </w:r>
      <w:r w:rsidR="000B47FB">
        <w:rPr>
          <w:rFonts w:ascii="Arial Narrow" w:eastAsia="Times New Roman" w:hAnsi="Arial Narrow" w:cs="Times New Roman"/>
          <w:b/>
          <w:sz w:val="24"/>
          <w:szCs w:val="24"/>
        </w:rPr>
        <w:t xml:space="preserve"> and PJM 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62ED169E">
      <w:pPr>
        <w:pStyle w:val="MeetingDetails"/>
      </w:pPr>
      <w:r>
        <w:t xml:space="preserve">Thursday </w:t>
      </w:r>
      <w:r w:rsidR="00E671BF">
        <w:t>October</w:t>
      </w:r>
      <w:r w:rsidR="00F26A97">
        <w:t xml:space="preserve"> 1</w:t>
      </w:r>
      <w:r w:rsidR="00E671BF">
        <w:t>6</w:t>
      </w:r>
      <w:r w:rsidRPr="00F26A97" w:rsidR="00F26A97">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9E0156" w:rsidP="009A341D" w14:paraId="7AD2A50B" w14:textId="11DCC37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t>:05-</w:t>
      </w:r>
      <w:r w:rsidR="00F26A97">
        <w:t>4</w:t>
      </w:r>
      <w:r w:rsidR="003E1CEF">
        <w:t>:00)</w:t>
      </w:r>
    </w:p>
    <w:p w:rsidR="00365766" w:rsidP="006071F2" w14:paraId="05F853C8" w14:textId="39D380F7">
      <w:pPr>
        <w:pStyle w:val="ListSubhead1"/>
        <w:numPr>
          <w:ilvl w:val="0"/>
          <w:numId w:val="14"/>
        </w:numPr>
        <w:spacing w:after="0"/>
      </w:pPr>
      <w:r>
        <w:t>PSEG FERC Form 715 Update</w:t>
      </w:r>
    </w:p>
    <w:p w:rsidR="00365766" w:rsidRPr="00365766" w:rsidP="00365766" w14:paraId="6C8F9EE3" w14:textId="6DB0EB19">
      <w:pPr>
        <w:pStyle w:val="ListSubhead1"/>
        <w:numPr>
          <w:ilvl w:val="0"/>
          <w:numId w:val="0"/>
        </w:numPr>
        <w:spacing w:after="0"/>
        <w:ind w:left="360"/>
        <w:rPr>
          <w:b w:val="0"/>
          <w:bCs/>
        </w:rPr>
      </w:pPr>
      <w:r w:rsidRPr="00365766">
        <w:rPr>
          <w:b w:val="0"/>
          <w:bCs/>
        </w:rPr>
        <w:t xml:space="preserve">PSEG will present an update to their FERC Form 715 Planning Criteria. </w:t>
      </w:r>
    </w:p>
    <w:p w:rsidR="00365766" w:rsidP="00365766" w14:paraId="7D287CB2" w14:textId="77777777">
      <w:pPr>
        <w:pStyle w:val="ListSubhead1"/>
        <w:numPr>
          <w:ilvl w:val="0"/>
          <w:numId w:val="0"/>
        </w:numPr>
        <w:spacing w:after="0"/>
        <w:ind w:left="360"/>
      </w:pPr>
    </w:p>
    <w:p w:rsidR="006071F2" w:rsidP="006071F2" w14:paraId="44E23424" w14:textId="461DF2CC">
      <w:pPr>
        <w:pStyle w:val="ListSubhead1"/>
        <w:numPr>
          <w:ilvl w:val="0"/>
          <w:numId w:val="14"/>
        </w:numPr>
        <w:spacing w:after="0"/>
      </w:pPr>
      <w:r>
        <w:t>SRRTEP Mid-Atlantic - Reliability Analysis Update</w:t>
      </w:r>
    </w:p>
    <w:p w:rsidR="006071F2" w:rsidP="006071F2" w14:paraId="34F71C1A" w14:textId="211810E2">
      <w:pPr>
        <w:pStyle w:val="ListSubhead1"/>
        <w:numPr>
          <w:ilvl w:val="0"/>
          <w:numId w:val="0"/>
        </w:numPr>
        <w:spacing w:after="0"/>
        <w:ind w:left="360"/>
        <w:rPr>
          <w:b w:val="0"/>
          <w:szCs w:val="24"/>
        </w:rPr>
      </w:pPr>
      <w:r>
        <w:rPr>
          <w:b w:val="0"/>
          <w:szCs w:val="24"/>
        </w:rPr>
        <w:t xml:space="preserve">PJM will present the </w:t>
      </w:r>
      <w:r w:rsidR="003D4333">
        <w:rPr>
          <w:b w:val="0"/>
          <w:szCs w:val="24"/>
        </w:rPr>
        <w:t xml:space="preserve">Mid-Atlantic </w:t>
      </w:r>
      <w:r>
        <w:rPr>
          <w:b w:val="0"/>
          <w:szCs w:val="24"/>
        </w:rPr>
        <w:t xml:space="preserve">Reliability Analysis Update. </w:t>
      </w:r>
    </w:p>
    <w:p w:rsidR="006071F2" w:rsidP="004B77CC" w14:paraId="05C3D580" w14:textId="77777777">
      <w:pPr>
        <w:pStyle w:val="ListSubhead1"/>
        <w:numPr>
          <w:ilvl w:val="0"/>
          <w:numId w:val="0"/>
        </w:numPr>
        <w:spacing w:after="0"/>
      </w:pPr>
    </w:p>
    <w:p w:rsidR="009E0156" w:rsidP="009E0156" w14:paraId="7E12A1D6" w14:textId="05721CB4">
      <w:pPr>
        <w:pStyle w:val="ListSubhead1"/>
        <w:numPr>
          <w:ilvl w:val="0"/>
          <w:numId w:val="14"/>
        </w:numPr>
        <w:spacing w:after="0"/>
      </w:pPr>
      <w:r>
        <w:t>ACE</w:t>
      </w:r>
      <w:r w:rsidR="009A341D">
        <w:t xml:space="preserve"> Supplemental Projects</w:t>
      </w:r>
    </w:p>
    <w:p w:rsidR="009E0156" w:rsidRPr="009A341D" w:rsidP="009A341D" w14:paraId="2BD77EE9" w14:textId="0340092B">
      <w:pPr>
        <w:pStyle w:val="ListSubhead1"/>
        <w:numPr>
          <w:ilvl w:val="0"/>
          <w:numId w:val="0"/>
        </w:numPr>
        <w:spacing w:after="0"/>
        <w:ind w:left="360"/>
        <w:rPr>
          <w:b w:val="0"/>
          <w:szCs w:val="24"/>
        </w:rPr>
      </w:pPr>
      <w:r>
        <w:rPr>
          <w:b w:val="0"/>
          <w:szCs w:val="24"/>
        </w:rPr>
        <w:t>ACE</w:t>
      </w:r>
      <w:r w:rsidRPr="009A341D" w:rsidR="009A341D">
        <w:rPr>
          <w:b w:val="0"/>
          <w:szCs w:val="24"/>
        </w:rPr>
        <w:t xml:space="preserve"> will present </w:t>
      </w:r>
      <w:r>
        <w:rPr>
          <w:b w:val="0"/>
          <w:szCs w:val="24"/>
        </w:rPr>
        <w:t>1</w:t>
      </w:r>
      <w:r w:rsidRPr="009A341D" w:rsidR="009A341D">
        <w:rPr>
          <w:b w:val="0"/>
          <w:szCs w:val="24"/>
        </w:rPr>
        <w:t xml:space="preserve"> need</w:t>
      </w:r>
      <w:r w:rsidR="009A341D">
        <w:rPr>
          <w:b w:val="0"/>
          <w:szCs w:val="24"/>
        </w:rPr>
        <w:t>.</w:t>
      </w:r>
    </w:p>
    <w:p w:rsidR="009A341D" w:rsidP="009E0156" w14:paraId="052C8757" w14:textId="77777777">
      <w:pPr>
        <w:pStyle w:val="ListSubhead1"/>
        <w:numPr>
          <w:ilvl w:val="0"/>
          <w:numId w:val="0"/>
        </w:numPr>
        <w:spacing w:after="0"/>
        <w:ind w:left="360"/>
        <w:rPr>
          <w:b w:val="0"/>
          <w:szCs w:val="24"/>
        </w:rPr>
      </w:pPr>
    </w:p>
    <w:p w:rsidR="009A341D" w:rsidP="009A341D" w14:paraId="1850CE27" w14:textId="5014BDA1">
      <w:pPr>
        <w:pStyle w:val="ListSubhead1"/>
        <w:numPr>
          <w:ilvl w:val="0"/>
          <w:numId w:val="14"/>
        </w:numPr>
        <w:spacing w:after="0"/>
      </w:pPr>
      <w:r>
        <w:t>DPL</w:t>
      </w:r>
      <w:r w:rsidRPr="005569CD">
        <w:t xml:space="preserve"> Supplemental Projects</w:t>
      </w:r>
    </w:p>
    <w:p w:rsidR="009A341D" w:rsidRPr="00D22FE4" w:rsidP="009A341D" w14:paraId="6F0174D3" w14:textId="789D7B46">
      <w:pPr>
        <w:pStyle w:val="ListSubhead1"/>
        <w:numPr>
          <w:ilvl w:val="0"/>
          <w:numId w:val="0"/>
        </w:numPr>
        <w:spacing w:after="0"/>
        <w:ind w:left="360"/>
      </w:pPr>
      <w:r>
        <w:rPr>
          <w:b w:val="0"/>
          <w:szCs w:val="24"/>
        </w:rPr>
        <w:t>DPL</w:t>
      </w:r>
      <w:r>
        <w:rPr>
          <w:b w:val="0"/>
          <w:szCs w:val="24"/>
        </w:rPr>
        <w:t xml:space="preserve"> </w:t>
      </w:r>
      <w:r w:rsidRPr="00D22FE4">
        <w:rPr>
          <w:b w:val="0"/>
          <w:szCs w:val="24"/>
        </w:rPr>
        <w:t xml:space="preserve">will present </w:t>
      </w:r>
      <w:r>
        <w:rPr>
          <w:b w:val="0"/>
          <w:szCs w:val="24"/>
        </w:rPr>
        <w:t>1 potential solution</w:t>
      </w:r>
      <w:r>
        <w:rPr>
          <w:b w:val="0"/>
          <w:szCs w:val="24"/>
        </w:rPr>
        <w:t>.</w:t>
      </w:r>
    </w:p>
    <w:p w:rsidR="009E0156" w:rsidP="00D265D3" w14:paraId="25EBA782" w14:textId="77777777">
      <w:pPr>
        <w:pStyle w:val="ListSubhead1"/>
        <w:numPr>
          <w:ilvl w:val="0"/>
          <w:numId w:val="0"/>
        </w:numPr>
        <w:spacing w:after="0"/>
        <w:ind w:left="360"/>
      </w:pPr>
    </w:p>
    <w:p w:rsidR="009E0156" w:rsidP="009E0156" w14:paraId="5C85EC95" w14:textId="4CE3AF16">
      <w:pPr>
        <w:pStyle w:val="ListSubhead1"/>
        <w:numPr>
          <w:ilvl w:val="0"/>
          <w:numId w:val="14"/>
        </w:numPr>
        <w:spacing w:after="0"/>
      </w:pPr>
      <w:r>
        <w:t>P</w:t>
      </w:r>
      <w:r w:rsidR="00E671BF">
        <w:t>ENELEC</w:t>
      </w:r>
      <w:r w:rsidRPr="005569CD">
        <w:t xml:space="preserve"> Supplemental Projects</w:t>
      </w:r>
    </w:p>
    <w:p w:rsidR="009E0156" w:rsidP="009E0156" w14:paraId="18D1FF7A" w14:textId="460E4B0F">
      <w:pPr>
        <w:pStyle w:val="ListSubhead1"/>
        <w:numPr>
          <w:ilvl w:val="0"/>
          <w:numId w:val="0"/>
        </w:numPr>
        <w:spacing w:after="0"/>
        <w:ind w:left="360"/>
        <w:rPr>
          <w:b w:val="0"/>
          <w:szCs w:val="24"/>
        </w:rPr>
      </w:pPr>
      <w:r>
        <w:rPr>
          <w:b w:val="0"/>
          <w:szCs w:val="24"/>
        </w:rPr>
        <w:t>PENELEC</w:t>
      </w:r>
      <w:r>
        <w:rPr>
          <w:b w:val="0"/>
          <w:szCs w:val="24"/>
        </w:rPr>
        <w:t xml:space="preserve"> </w:t>
      </w:r>
      <w:r w:rsidRPr="00D22FE4">
        <w:rPr>
          <w:b w:val="0"/>
          <w:szCs w:val="24"/>
        </w:rPr>
        <w:t xml:space="preserve">will present </w:t>
      </w:r>
      <w:r>
        <w:rPr>
          <w:b w:val="0"/>
          <w:szCs w:val="24"/>
        </w:rPr>
        <w:t>1</w:t>
      </w:r>
      <w:r w:rsidR="000B47FB">
        <w:rPr>
          <w:b w:val="0"/>
          <w:szCs w:val="24"/>
        </w:rPr>
        <w:t xml:space="preserve"> </w:t>
      </w:r>
      <w:r>
        <w:rPr>
          <w:b w:val="0"/>
          <w:szCs w:val="24"/>
        </w:rPr>
        <w:t>withdrawn need.</w:t>
      </w:r>
    </w:p>
    <w:p w:rsidR="00E671BF" w:rsidP="009E0156" w14:paraId="4282EF37" w14:textId="77777777">
      <w:pPr>
        <w:pStyle w:val="ListSubhead1"/>
        <w:numPr>
          <w:ilvl w:val="0"/>
          <w:numId w:val="0"/>
        </w:numPr>
        <w:spacing w:after="0"/>
        <w:ind w:left="360"/>
        <w:rPr>
          <w:b w:val="0"/>
          <w:szCs w:val="24"/>
        </w:rPr>
      </w:pPr>
    </w:p>
    <w:p w:rsidR="00E671BF" w:rsidP="00E671BF" w14:paraId="0CC40A8E" w14:textId="77777777">
      <w:pPr>
        <w:pStyle w:val="ListSubhead1"/>
        <w:numPr>
          <w:ilvl w:val="0"/>
          <w:numId w:val="14"/>
        </w:numPr>
        <w:spacing w:after="0"/>
      </w:pPr>
      <w:r>
        <w:t>PPL</w:t>
      </w:r>
      <w:r w:rsidRPr="005569CD">
        <w:t xml:space="preserve"> Supplemental Projects</w:t>
      </w:r>
    </w:p>
    <w:p w:rsidR="00E671BF" w:rsidRPr="00D22FE4" w:rsidP="00E671BF" w14:paraId="1A2807E8" w14:textId="206CD2DA">
      <w:pPr>
        <w:pStyle w:val="ListSubhead1"/>
        <w:numPr>
          <w:ilvl w:val="0"/>
          <w:numId w:val="0"/>
        </w:numPr>
        <w:spacing w:after="0"/>
        <w:ind w:left="360"/>
      </w:pPr>
      <w:r>
        <w:rPr>
          <w:b w:val="0"/>
          <w:szCs w:val="24"/>
        </w:rPr>
        <w:t xml:space="preserve">PPL </w:t>
      </w:r>
      <w:r w:rsidRPr="00D22FE4">
        <w:rPr>
          <w:b w:val="0"/>
          <w:szCs w:val="24"/>
        </w:rPr>
        <w:t xml:space="preserve">will present </w:t>
      </w:r>
      <w:r>
        <w:rPr>
          <w:b w:val="0"/>
          <w:szCs w:val="24"/>
        </w:rPr>
        <w:t xml:space="preserve">1 </w:t>
      </w:r>
      <w:r w:rsidR="005907AF">
        <w:rPr>
          <w:b w:val="0"/>
          <w:szCs w:val="24"/>
        </w:rPr>
        <w:t xml:space="preserve">need and 1 </w:t>
      </w:r>
      <w:r>
        <w:rPr>
          <w:b w:val="0"/>
          <w:szCs w:val="24"/>
        </w:rPr>
        <w:t>potential solution.</w:t>
      </w:r>
    </w:p>
    <w:p w:rsidR="009E0156" w:rsidP="00D265D3" w14:paraId="4B429BA6" w14:textId="77777777">
      <w:pPr>
        <w:pStyle w:val="ListSubhead1"/>
        <w:numPr>
          <w:ilvl w:val="0"/>
          <w:numId w:val="0"/>
        </w:numPr>
        <w:spacing w:after="0"/>
        <w:ind w:left="360"/>
      </w:pPr>
    </w:p>
    <w:p w:rsidR="009E0156" w:rsidP="009E0156" w14:paraId="555A0F36" w14:textId="44FFF656">
      <w:pPr>
        <w:pStyle w:val="ListSubhead1"/>
        <w:numPr>
          <w:ilvl w:val="0"/>
          <w:numId w:val="14"/>
        </w:numPr>
        <w:spacing w:after="0"/>
      </w:pPr>
      <w:r>
        <w:t>PSEG</w:t>
      </w:r>
      <w:r w:rsidRPr="005569CD">
        <w:t xml:space="preserve"> Supplemental Projects</w:t>
      </w:r>
    </w:p>
    <w:p w:rsidR="00FA05CE" w:rsidRPr="00E671BF" w:rsidP="00E671BF" w14:paraId="508D8D89" w14:textId="31C4F657">
      <w:pPr>
        <w:pStyle w:val="ListSubhead1"/>
        <w:numPr>
          <w:ilvl w:val="0"/>
          <w:numId w:val="0"/>
        </w:numPr>
        <w:spacing w:after="0"/>
        <w:ind w:left="360"/>
        <w:rPr>
          <w:b w:val="0"/>
          <w:szCs w:val="24"/>
        </w:rPr>
      </w:pPr>
      <w:r>
        <w:rPr>
          <w:b w:val="0"/>
          <w:szCs w:val="24"/>
        </w:rPr>
        <w:t>PSEG</w:t>
      </w:r>
      <w:r w:rsidR="000B47FB">
        <w:rPr>
          <w:b w:val="0"/>
          <w:szCs w:val="24"/>
        </w:rPr>
        <w:t xml:space="preserve"> will present 1 need and 1 potential solution.</w:t>
      </w:r>
    </w:p>
    <w:p w:rsidR="009E0156" w:rsidP="00D265D3" w14:paraId="617B9776" w14:textId="77777777">
      <w:pPr>
        <w:pStyle w:val="ListSubhead1"/>
        <w:numPr>
          <w:ilvl w:val="0"/>
          <w:numId w:val="0"/>
        </w:numPr>
        <w:spacing w:after="0"/>
        <w:ind w:left="360"/>
      </w:pPr>
    </w:p>
    <w:p w:rsidR="009E0156" w:rsidP="009E0156" w14:paraId="5D6E69C6" w14:textId="77777777">
      <w:pPr>
        <w:pStyle w:val="ListSubhead1"/>
        <w:numPr>
          <w:ilvl w:val="0"/>
          <w:numId w:val="14"/>
        </w:numPr>
        <w:spacing w:after="0"/>
      </w:pPr>
      <w:r>
        <w:t>Dominion</w:t>
      </w:r>
      <w:r w:rsidRPr="005569CD">
        <w:t xml:space="preserve"> Supplemental Projects</w:t>
      </w:r>
    </w:p>
    <w:p w:rsidR="009E0156" w:rsidP="009E0156" w14:paraId="6FDCBDF3" w14:textId="511CA6A8">
      <w:pPr>
        <w:pStyle w:val="ListSubhead1"/>
        <w:numPr>
          <w:ilvl w:val="0"/>
          <w:numId w:val="0"/>
        </w:numPr>
        <w:spacing w:after="0"/>
        <w:ind w:left="360"/>
        <w:rPr>
          <w:b w:val="0"/>
          <w:szCs w:val="24"/>
        </w:rPr>
      </w:pPr>
      <w:r>
        <w:rPr>
          <w:b w:val="0"/>
          <w:szCs w:val="24"/>
        </w:rPr>
        <w:t>Dominion</w:t>
      </w:r>
      <w:r>
        <w:rPr>
          <w:b w:val="0"/>
          <w:szCs w:val="24"/>
        </w:rPr>
        <w:t xml:space="preserve"> </w:t>
      </w:r>
      <w:r w:rsidRPr="00D22FE4">
        <w:rPr>
          <w:b w:val="0"/>
          <w:szCs w:val="24"/>
        </w:rPr>
        <w:t xml:space="preserve">will present </w:t>
      </w:r>
      <w:r w:rsidR="00575527">
        <w:rPr>
          <w:b w:val="0"/>
          <w:szCs w:val="24"/>
        </w:rPr>
        <w:t>4</w:t>
      </w:r>
      <w:r>
        <w:rPr>
          <w:b w:val="0"/>
          <w:szCs w:val="24"/>
        </w:rPr>
        <w:t xml:space="preserve"> need</w:t>
      </w:r>
      <w:r w:rsidR="00FA05CE">
        <w:rPr>
          <w:b w:val="0"/>
          <w:szCs w:val="24"/>
        </w:rPr>
        <w:t>s</w:t>
      </w:r>
      <w:r>
        <w:rPr>
          <w:b w:val="0"/>
          <w:szCs w:val="24"/>
        </w:rPr>
        <w:t xml:space="preserve"> and </w:t>
      </w:r>
      <w:r w:rsidR="00FA05CE">
        <w:rPr>
          <w:b w:val="0"/>
          <w:szCs w:val="24"/>
        </w:rPr>
        <w:t>1</w:t>
      </w:r>
      <w:r>
        <w:rPr>
          <w:b w:val="0"/>
          <w:szCs w:val="24"/>
        </w:rPr>
        <w:t xml:space="preserve"> potential solution</w:t>
      </w:r>
      <w:r w:rsidR="00FA05CE">
        <w:rPr>
          <w:b w:val="0"/>
          <w:szCs w:val="24"/>
        </w:rPr>
        <w:t>.</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9E0156" w:rsidRPr="00BB6921" w:rsidP="009E0156" w14:paraId="0818F9D7" w14:textId="50D0FB78">
            <w:pPr>
              <w:pStyle w:val="DisclaimerHeading"/>
              <w:keepLines/>
              <w:spacing w:before="40" w:after="40" w:line="220" w:lineRule="exact"/>
              <w:jc w:val="left"/>
              <w:rPr>
                <w:b w:val="0"/>
                <w:i w:val="0"/>
                <w:color w:val="auto"/>
                <w:sz w:val="18"/>
                <w:szCs w:val="18"/>
              </w:rPr>
            </w:pPr>
            <w:r>
              <w:rPr>
                <w:b w:val="0"/>
                <w:i w:val="0"/>
                <w:color w:val="auto"/>
                <w:sz w:val="18"/>
                <w:szCs w:val="18"/>
              </w:rPr>
              <w:t>November</w:t>
            </w:r>
            <w:r>
              <w:rPr>
                <w:b w:val="0"/>
                <w:i w:val="0"/>
                <w:color w:val="auto"/>
                <w:sz w:val="18"/>
                <w:szCs w:val="18"/>
              </w:rPr>
              <w:t xml:space="preserve"> 1</w:t>
            </w:r>
            <w:r>
              <w:rPr>
                <w:b w:val="0"/>
                <w:i w:val="0"/>
                <w:color w:val="auto"/>
                <w:sz w:val="18"/>
                <w:szCs w:val="18"/>
              </w:rPr>
              <w:t>3</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9E0156" w:rsidRPr="00C10A93" w:rsidP="009E0156" w14:paraId="4135503F"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9E0156" w:rsidRPr="00C10A93" w:rsidP="009E0156" w14:paraId="355461FF"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9E0156" w:rsidRPr="00C10A93" w:rsidP="009E0156" w14:paraId="014036B4" w14:textId="2350EA77">
            <w:pPr>
              <w:pStyle w:val="DisclaimerHeading"/>
              <w:keepLines/>
              <w:spacing w:before="40" w:after="40" w:line="220" w:lineRule="exact"/>
              <w:jc w:val="center"/>
              <w:rPr>
                <w:b w:val="0"/>
                <w:color w:val="auto"/>
                <w:sz w:val="18"/>
                <w:szCs w:val="18"/>
              </w:rPr>
            </w:pPr>
            <w:r>
              <w:rPr>
                <w:b w:val="0"/>
                <w:color w:val="auto"/>
                <w:sz w:val="18"/>
                <w:szCs w:val="18"/>
              </w:rPr>
              <w:t xml:space="preserve">October </w:t>
            </w:r>
            <w:r w:rsidR="005907AF">
              <w:rPr>
                <w:b w:val="0"/>
                <w:color w:val="auto"/>
                <w:sz w:val="18"/>
                <w:szCs w:val="18"/>
              </w:rPr>
              <w:t>29</w:t>
            </w:r>
            <w:r w:rsidR="005907AF">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9E0156" w:rsidRPr="00C10A93" w:rsidP="009E0156" w14:paraId="177F3A4F" w14:textId="5CFABFEE">
            <w:pPr>
              <w:pStyle w:val="DisclaimerHeading"/>
              <w:keepLines/>
              <w:spacing w:before="40" w:after="40" w:line="220" w:lineRule="exact"/>
              <w:jc w:val="center"/>
              <w:rPr>
                <w:b w:val="0"/>
                <w:color w:val="auto"/>
                <w:sz w:val="18"/>
                <w:szCs w:val="18"/>
              </w:rPr>
            </w:pPr>
            <w:r>
              <w:rPr>
                <w:b w:val="0"/>
                <w:color w:val="auto"/>
                <w:sz w:val="18"/>
                <w:szCs w:val="18"/>
              </w:rPr>
              <w:t>Novembe</w:t>
            </w:r>
            <w:r>
              <w:rPr>
                <w:b w:val="0"/>
                <w:color w:val="auto"/>
                <w:sz w:val="18"/>
                <w:szCs w:val="18"/>
              </w:rPr>
              <w:t xml:space="preserve">r </w:t>
            </w:r>
            <w:r>
              <w:rPr>
                <w:b w:val="0"/>
                <w:color w:val="auto"/>
                <w:sz w:val="18"/>
                <w:szCs w:val="18"/>
              </w:rPr>
              <w:t>3</w:t>
            </w:r>
            <w:r>
              <w:rPr>
                <w:b w:val="0"/>
                <w:color w:val="auto"/>
                <w:sz w:val="18"/>
                <w:szCs w:val="18"/>
                <w:vertAlign w:val="superscript"/>
              </w:rPr>
              <w:t>rd</w:t>
            </w:r>
            <w:r>
              <w:rPr>
                <w:b w:val="0"/>
                <w:color w:val="auto"/>
                <w:sz w:val="18"/>
                <w:szCs w:val="18"/>
              </w:rPr>
              <w:t>, 2025</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1DFAB0FE">
            <w:pPr>
              <w:pStyle w:val="DisclaimerHeading"/>
              <w:keepLines/>
              <w:spacing w:before="40" w:after="40" w:line="220" w:lineRule="exact"/>
              <w:jc w:val="left"/>
              <w:rPr>
                <w:b w:val="0"/>
                <w:i w:val="0"/>
                <w:color w:val="auto"/>
                <w:sz w:val="18"/>
                <w:szCs w:val="18"/>
              </w:rPr>
            </w:pPr>
            <w:r>
              <w:rPr>
                <w:b w:val="0"/>
                <w:i w:val="0"/>
                <w:color w:val="auto"/>
                <w:sz w:val="18"/>
                <w:szCs w:val="18"/>
              </w:rPr>
              <w:t>December</w:t>
            </w:r>
            <w:r>
              <w:rPr>
                <w:b w:val="0"/>
                <w:i w:val="0"/>
                <w:color w:val="auto"/>
                <w:sz w:val="18"/>
                <w:szCs w:val="18"/>
              </w:rPr>
              <w:t xml:space="preserve"> 1</w:t>
            </w:r>
            <w:r>
              <w:rPr>
                <w:b w:val="0"/>
                <w:i w:val="0"/>
                <w:color w:val="auto"/>
                <w:sz w:val="18"/>
                <w:szCs w:val="18"/>
              </w:rPr>
              <w:t>1</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3B39C090">
            <w:pPr>
              <w:pStyle w:val="DisclaimerHeading"/>
              <w:keepLines/>
              <w:spacing w:before="40" w:after="40" w:line="220" w:lineRule="exact"/>
              <w:jc w:val="center"/>
              <w:rPr>
                <w:b w:val="0"/>
                <w:color w:val="auto"/>
                <w:sz w:val="18"/>
                <w:szCs w:val="18"/>
              </w:rPr>
            </w:pPr>
            <w:r>
              <w:rPr>
                <w:b w:val="0"/>
                <w:color w:val="auto"/>
                <w:sz w:val="18"/>
                <w:szCs w:val="18"/>
              </w:rPr>
              <w:t>November</w:t>
            </w:r>
            <w:r>
              <w:rPr>
                <w:b w:val="0"/>
                <w:color w:val="auto"/>
                <w:sz w:val="18"/>
                <w:szCs w:val="18"/>
              </w:rPr>
              <w:t xml:space="preserve"> </w:t>
            </w:r>
            <w:r w:rsidR="009E0156">
              <w:rPr>
                <w:b w:val="0"/>
                <w:color w:val="auto"/>
                <w:sz w:val="18"/>
                <w:szCs w:val="18"/>
              </w:rPr>
              <w:t>2</w:t>
            </w:r>
            <w:r>
              <w:rPr>
                <w:b w:val="0"/>
                <w:color w:val="auto"/>
                <w:sz w:val="18"/>
                <w:szCs w:val="18"/>
              </w:rPr>
              <w:t>6</w:t>
            </w:r>
            <w:r w:rsidRPr="009E0156" w:rsidR="009E0156">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7D131873">
            <w:pPr>
              <w:pStyle w:val="DisclaimerHeading"/>
              <w:keepLines/>
              <w:spacing w:before="40" w:after="40" w:line="220" w:lineRule="exact"/>
              <w:jc w:val="center"/>
              <w:rPr>
                <w:b w:val="0"/>
                <w:color w:val="auto"/>
                <w:sz w:val="18"/>
                <w:szCs w:val="18"/>
              </w:rPr>
            </w:pPr>
            <w:r>
              <w:rPr>
                <w:b w:val="0"/>
                <w:color w:val="auto"/>
                <w:sz w:val="18"/>
                <w:szCs w:val="18"/>
              </w:rPr>
              <w:t>December</w:t>
            </w:r>
            <w:r w:rsidR="009E0156">
              <w:rPr>
                <w:b w:val="0"/>
                <w:color w:val="auto"/>
                <w:sz w:val="18"/>
                <w:szCs w:val="18"/>
              </w:rPr>
              <w:t xml:space="preserve"> </w:t>
            </w:r>
            <w:r>
              <w:rPr>
                <w:b w:val="0"/>
                <w:color w:val="auto"/>
                <w:sz w:val="18"/>
                <w:szCs w:val="18"/>
              </w:rPr>
              <w:t>1</w:t>
            </w:r>
            <w:r>
              <w:rPr>
                <w:b w:val="0"/>
                <w:color w:val="auto"/>
                <w:sz w:val="18"/>
                <w:szCs w:val="18"/>
                <w:vertAlign w:val="superscript"/>
              </w:rPr>
              <w:t>st</w:t>
            </w:r>
            <w:r>
              <w:rPr>
                <w:b w:val="0"/>
                <w:color w:val="auto"/>
                <w:sz w:val="18"/>
                <w:szCs w:val="18"/>
              </w:rPr>
              <w:t>, 2025</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B62597" w:rsidRPr="00B62597" w:rsidP="00DB29E9" w14:paraId="4E433938" w14:textId="77777777">
      <w:pPr>
        <w:pStyle w:val="DisclaimerHeading"/>
      </w:pPr>
      <w:r>
        <w:t>Anti</w:t>
      </w:r>
      <w:r w:rsidRPr="00B62597">
        <w:t>trust:</w:t>
      </w:r>
    </w:p>
    <w:p w:rsidR="00B62597" w:rsidRPr="00B62597" w:rsidP="00491490" w14:paraId="03F6F13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4F3D57" w:rsidRPr="00B62597" w:rsidP="004F3D57" w14:paraId="3391671C" w14:textId="77777777">
      <w:pPr>
        <w:pStyle w:val="DisclaimerHeading"/>
        <w:spacing w:before="240"/>
      </w:pPr>
      <w:r w:rsidRPr="00B62597">
        <w:t>Code of Conduct:</w:t>
      </w:r>
    </w:p>
    <w:p w:rsidR="004F3D57" w:rsidRPr="00B62597" w:rsidP="004F3D57" w14:paraId="6C2D6E9E"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25F98E40" w14:textId="77777777">
      <w:pPr>
        <w:pStyle w:val="DisclaimerHeading"/>
        <w:spacing w:before="240"/>
      </w:pPr>
      <w:r w:rsidRPr="00B62597">
        <w:t xml:space="preserve">Public Meetings/Media Participation: </w:t>
      </w:r>
    </w:p>
    <w:p w:rsidR="00DE34CF" w:rsidP="00337321" w14:paraId="71D2E19F"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42268FB1" w14:textId="77777777">
      <w:pPr>
        <w:pStyle w:val="DisclaimerHeading"/>
        <w:spacing w:before="240"/>
      </w:pPr>
      <w:r>
        <w:t xml:space="preserve">Participant Identification in </w:t>
      </w:r>
      <w:r w:rsidR="00711249">
        <w:t>Webex</w:t>
      </w:r>
      <w:r>
        <w:t>:</w:t>
      </w:r>
    </w:p>
    <w:p w:rsidR="00027F49" w:rsidP="00027F49" w14:paraId="5C6347C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7C47168"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763F88C1" w14:textId="77777777">
      <w:pPr>
        <w:pStyle w:val="DisclaimerHeading"/>
        <w:spacing w:before="240"/>
      </w:pPr>
      <w:r w:rsidRPr="00D827A6">
        <w:t>Participant Use of Webex Chat:</w:t>
      </w:r>
    </w:p>
    <w:p w:rsidR="00D827A6" w:rsidP="00D827A6" w14:paraId="7E6E5C7B"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6ADECB00" w14:textId="77777777">
      <w:pPr>
        <w:pStyle w:val="DisclaimerBodyCopy"/>
      </w:pPr>
    </w:p>
    <w:p w:rsidR="00027F49" w:rsidP="00027F49" w14:paraId="001EA3A2" w14:textId="77777777">
      <w:pPr>
        <w:pStyle w:val="DisclosureBody"/>
      </w:pPr>
    </w:p>
    <w:p w:rsidR="00027F49" w:rsidP="00027F49" w14:paraId="32782F3B"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47B8B8CF" w14:textId="77777777">
      <w:pPr>
        <w:pStyle w:val="DisclaimerHeading"/>
      </w:pP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9"/>
      <w:footerReference w:type="even" r:id="rId10"/>
      <w:footerReference w:type="default" r:id="rId11"/>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10057"/>
    <w:rsid w:val="000232DF"/>
    <w:rsid w:val="00027F49"/>
    <w:rsid w:val="000333FF"/>
    <w:rsid w:val="00036340"/>
    <w:rsid w:val="00037D9E"/>
    <w:rsid w:val="00046AF8"/>
    <w:rsid w:val="000538D7"/>
    <w:rsid w:val="0006798D"/>
    <w:rsid w:val="00092135"/>
    <w:rsid w:val="00096230"/>
    <w:rsid w:val="000B47FB"/>
    <w:rsid w:val="000E2756"/>
    <w:rsid w:val="00117AF9"/>
    <w:rsid w:val="00121F58"/>
    <w:rsid w:val="001678E8"/>
    <w:rsid w:val="00170E02"/>
    <w:rsid w:val="001B2242"/>
    <w:rsid w:val="001C0CC0"/>
    <w:rsid w:val="001D292D"/>
    <w:rsid w:val="001D3B68"/>
    <w:rsid w:val="00200A1B"/>
    <w:rsid w:val="002113BD"/>
    <w:rsid w:val="0025139E"/>
    <w:rsid w:val="00260F75"/>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91490"/>
    <w:rsid w:val="00494494"/>
    <w:rsid w:val="004969FA"/>
    <w:rsid w:val="004B77CC"/>
    <w:rsid w:val="004F3D57"/>
    <w:rsid w:val="00527104"/>
    <w:rsid w:val="00532542"/>
    <w:rsid w:val="005569CD"/>
    <w:rsid w:val="00564DEE"/>
    <w:rsid w:val="0056775C"/>
    <w:rsid w:val="0057441E"/>
    <w:rsid w:val="00575527"/>
    <w:rsid w:val="005907AF"/>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4E48"/>
    <w:rsid w:val="00777623"/>
    <w:rsid w:val="007A34A3"/>
    <w:rsid w:val="007A564A"/>
    <w:rsid w:val="007B3AAE"/>
    <w:rsid w:val="007C2954"/>
    <w:rsid w:val="007D4F70"/>
    <w:rsid w:val="007E7CAB"/>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86205"/>
    <w:rsid w:val="00A931C3"/>
    <w:rsid w:val="00AC2247"/>
    <w:rsid w:val="00AF3386"/>
    <w:rsid w:val="00B16D95"/>
    <w:rsid w:val="00B20316"/>
    <w:rsid w:val="00B34E3C"/>
    <w:rsid w:val="00B42FAE"/>
    <w:rsid w:val="00B62597"/>
    <w:rsid w:val="00BA02A7"/>
    <w:rsid w:val="00BA6146"/>
    <w:rsid w:val="00BB531B"/>
    <w:rsid w:val="00BB6921"/>
    <w:rsid w:val="00BF331B"/>
    <w:rsid w:val="00BF7988"/>
    <w:rsid w:val="00C10A93"/>
    <w:rsid w:val="00C32068"/>
    <w:rsid w:val="00C439EC"/>
    <w:rsid w:val="00C5307B"/>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F26A97"/>
    <w:rsid w:val="00F4190F"/>
    <w:rsid w:val="00F5077C"/>
    <w:rsid w:val="00F52385"/>
    <w:rsid w:val="00F725E2"/>
    <w:rsid w:val="00F73EEC"/>
    <w:rsid w:val="00F74B6A"/>
    <w:rsid w:val="00F84566"/>
    <w:rsid w:val="00F97006"/>
    <w:rsid w:val="00FA05CE"/>
    <w:rsid w:val="00FA5955"/>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