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6F4C16">
        <w:t>December</w:t>
      </w:r>
      <w:r w:rsidR="00587384">
        <w:t xml:space="preserve"> </w:t>
      </w:r>
      <w:r w:rsidR="006F4C16">
        <w:t>13</w:t>
      </w:r>
      <w:r w:rsidRPr="00C5018F" w:rsidR="00C5018F">
        <w:rPr>
          <w:vertAlign w:val="superscript"/>
        </w:rPr>
        <w:t>th</w:t>
      </w:r>
      <w:r w:rsidRPr="00C814F0" w:rsidR="002B2F98">
        <w:t xml:space="preserve">, </w:t>
      </w:r>
      <w:r w:rsidRPr="00C814F0" w:rsidR="00010057">
        <w:t>20</w:t>
      </w:r>
      <w:r w:rsidR="00C561FC">
        <w:t>2</w:t>
      </w:r>
      <w:r w:rsidR="001641B0">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6F4C16" w:rsidRPr="006F4C16" w:rsidP="006F4C16">
      <w:pPr>
        <w:pStyle w:val="ListSubhead1"/>
        <w:numPr>
          <w:ilvl w:val="0"/>
          <w:numId w:val="30"/>
        </w:numPr>
        <w:spacing w:after="0"/>
        <w:rPr>
          <w:szCs w:val="24"/>
        </w:rPr>
      </w:pPr>
      <w:r w:rsidRPr="006F4C16">
        <w:rPr>
          <w:szCs w:val="24"/>
        </w:rPr>
        <w:t>Reliability Analysis Update</w:t>
      </w:r>
    </w:p>
    <w:p w:rsidR="006F4C16" w:rsidP="006F4C16">
      <w:pPr>
        <w:pStyle w:val="ListSubhead1"/>
        <w:numPr>
          <w:ilvl w:val="0"/>
          <w:numId w:val="0"/>
        </w:numPr>
        <w:spacing w:after="0"/>
        <w:ind w:left="360"/>
        <w:rPr>
          <w:b w:val="0"/>
          <w:szCs w:val="24"/>
        </w:rPr>
      </w:pPr>
      <w:r w:rsidRPr="00F1598C">
        <w:rPr>
          <w:b w:val="0"/>
          <w:szCs w:val="24"/>
        </w:rPr>
        <w:t>PJM will present the Reliability Analysis Update</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DLCO Local Planning Assumptions </w:t>
      </w:r>
    </w:p>
    <w:p w:rsidR="006F4C16" w:rsidP="006F4C16">
      <w:pPr>
        <w:pStyle w:val="ListSubhead1"/>
        <w:numPr>
          <w:ilvl w:val="0"/>
          <w:numId w:val="0"/>
        </w:numPr>
        <w:spacing w:after="0"/>
        <w:ind w:left="360"/>
        <w:rPr>
          <w:b w:val="0"/>
          <w:szCs w:val="24"/>
        </w:rPr>
      </w:pPr>
      <w:r>
        <w:rPr>
          <w:b w:val="0"/>
          <w:szCs w:val="24"/>
        </w:rPr>
        <w:t>DLCO will present 202</w:t>
      </w:r>
      <w:r w:rsidR="00096829">
        <w:rPr>
          <w:b w:val="0"/>
          <w:szCs w:val="24"/>
        </w:rPr>
        <w:t>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Exelon Local Planning Assumptions </w:t>
      </w:r>
    </w:p>
    <w:p w:rsidR="006F4C16" w:rsidP="006F4C16">
      <w:pPr>
        <w:pStyle w:val="ListSubhead1"/>
        <w:numPr>
          <w:ilvl w:val="0"/>
          <w:numId w:val="0"/>
        </w:numPr>
        <w:spacing w:after="0"/>
        <w:ind w:left="360"/>
        <w:rPr>
          <w:b w:val="0"/>
          <w:szCs w:val="24"/>
        </w:rPr>
      </w:pPr>
      <w:r>
        <w:rPr>
          <w:b w:val="0"/>
          <w:szCs w:val="24"/>
        </w:rPr>
        <w:t>Exelon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OVEC Local Planning Assumptions </w:t>
      </w:r>
    </w:p>
    <w:p w:rsidR="006F4C16" w:rsidP="006F4C16">
      <w:pPr>
        <w:pStyle w:val="ListSubhead1"/>
        <w:numPr>
          <w:ilvl w:val="0"/>
          <w:numId w:val="0"/>
        </w:numPr>
        <w:spacing w:after="0"/>
        <w:ind w:left="360"/>
        <w:rPr>
          <w:b w:val="0"/>
          <w:szCs w:val="24"/>
        </w:rPr>
      </w:pPr>
      <w:r>
        <w:rPr>
          <w:b w:val="0"/>
          <w:szCs w:val="24"/>
        </w:rPr>
        <w:t>OVEC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WVPA Local Planning Assumptions </w:t>
      </w:r>
    </w:p>
    <w:p w:rsidR="006F4C16" w:rsidP="006F4C16">
      <w:pPr>
        <w:pStyle w:val="ListSubhead1"/>
        <w:numPr>
          <w:ilvl w:val="0"/>
          <w:numId w:val="0"/>
        </w:numPr>
        <w:spacing w:after="0"/>
        <w:ind w:left="360"/>
        <w:rPr>
          <w:b w:val="0"/>
          <w:szCs w:val="24"/>
        </w:rPr>
      </w:pPr>
      <w:r>
        <w:rPr>
          <w:b w:val="0"/>
          <w:szCs w:val="24"/>
        </w:rPr>
        <w:t>WVPA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DEOK Local Planning Assumptions </w:t>
      </w:r>
    </w:p>
    <w:p w:rsidR="006F4C16" w:rsidP="006F4C16">
      <w:pPr>
        <w:pStyle w:val="ListSubhead1"/>
        <w:numPr>
          <w:ilvl w:val="0"/>
          <w:numId w:val="0"/>
        </w:numPr>
        <w:spacing w:after="0"/>
        <w:ind w:left="360"/>
        <w:rPr>
          <w:b w:val="0"/>
          <w:szCs w:val="24"/>
        </w:rPr>
      </w:pPr>
      <w:r>
        <w:rPr>
          <w:b w:val="0"/>
          <w:szCs w:val="24"/>
        </w:rPr>
        <w:t>DEOK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Dayton Local Planning Assumptions </w:t>
      </w:r>
    </w:p>
    <w:p w:rsidR="006F4C16" w:rsidP="006F4C16">
      <w:pPr>
        <w:pStyle w:val="ListSubhead1"/>
        <w:numPr>
          <w:ilvl w:val="0"/>
          <w:numId w:val="0"/>
        </w:numPr>
        <w:spacing w:after="0"/>
        <w:ind w:left="360"/>
        <w:rPr>
          <w:b w:val="0"/>
          <w:szCs w:val="24"/>
        </w:rPr>
      </w:pPr>
      <w:r>
        <w:rPr>
          <w:b w:val="0"/>
          <w:szCs w:val="24"/>
        </w:rPr>
        <w:t>Dayton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EKPC Local Planning Assumptions </w:t>
      </w:r>
    </w:p>
    <w:p w:rsidR="006F4C16" w:rsidP="006F4C16">
      <w:pPr>
        <w:pStyle w:val="ListSubhead1"/>
        <w:numPr>
          <w:ilvl w:val="0"/>
          <w:numId w:val="0"/>
        </w:numPr>
        <w:spacing w:after="0"/>
        <w:ind w:left="360"/>
        <w:rPr>
          <w:b w:val="0"/>
          <w:szCs w:val="24"/>
        </w:rPr>
      </w:pPr>
      <w:r>
        <w:rPr>
          <w:b w:val="0"/>
          <w:szCs w:val="24"/>
        </w:rPr>
        <w:t>EKPC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First Energy-West Local Planning Assumptions </w:t>
      </w:r>
    </w:p>
    <w:p w:rsidR="006F4C16" w:rsidP="006F4C16">
      <w:pPr>
        <w:pStyle w:val="ListSubhead1"/>
        <w:numPr>
          <w:ilvl w:val="0"/>
          <w:numId w:val="0"/>
        </w:numPr>
        <w:spacing w:after="0"/>
        <w:ind w:left="360"/>
        <w:rPr>
          <w:b w:val="0"/>
          <w:szCs w:val="24"/>
        </w:rPr>
      </w:pPr>
      <w:r>
        <w:rPr>
          <w:b w:val="0"/>
          <w:szCs w:val="24"/>
        </w:rPr>
        <w:t>WVPA will present 2025</w:t>
      </w:r>
      <w:r>
        <w:rPr>
          <w:b w:val="0"/>
          <w:szCs w:val="24"/>
        </w:rPr>
        <w:t xml:space="preserve"> Local Planning Assumptions</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AMPT Local Planning Assumptions </w:t>
      </w:r>
    </w:p>
    <w:p w:rsidR="006F4C16" w:rsidP="006F4C16">
      <w:pPr>
        <w:pStyle w:val="ListSubhead1"/>
        <w:numPr>
          <w:ilvl w:val="0"/>
          <w:numId w:val="0"/>
        </w:numPr>
        <w:spacing w:after="0"/>
        <w:ind w:left="360"/>
        <w:rPr>
          <w:b w:val="0"/>
          <w:szCs w:val="24"/>
        </w:rPr>
      </w:pPr>
      <w:r>
        <w:rPr>
          <w:b w:val="0"/>
          <w:szCs w:val="24"/>
        </w:rPr>
        <w:t>AMPT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AEP Local Planning Assumptions </w:t>
      </w:r>
    </w:p>
    <w:p w:rsidR="006F4C16" w:rsidP="006F4C16">
      <w:pPr>
        <w:pStyle w:val="ListSubhead1"/>
        <w:numPr>
          <w:ilvl w:val="0"/>
          <w:numId w:val="0"/>
        </w:numPr>
        <w:spacing w:after="0"/>
        <w:ind w:left="360"/>
        <w:rPr>
          <w:b w:val="0"/>
          <w:szCs w:val="24"/>
        </w:rPr>
      </w:pPr>
      <w:r>
        <w:rPr>
          <w:b w:val="0"/>
          <w:szCs w:val="24"/>
        </w:rPr>
        <w:t>AEP will present 2025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 xml:space="preserve">NEET Local Planning Assumptions </w:t>
      </w:r>
    </w:p>
    <w:p w:rsidR="006F4C16" w:rsidP="006F4C16">
      <w:pPr>
        <w:pStyle w:val="ListSubhead1"/>
        <w:numPr>
          <w:ilvl w:val="0"/>
          <w:numId w:val="0"/>
        </w:numPr>
        <w:spacing w:after="0"/>
        <w:ind w:left="360"/>
        <w:rPr>
          <w:b w:val="0"/>
          <w:szCs w:val="24"/>
        </w:rPr>
      </w:pPr>
      <w:r>
        <w:rPr>
          <w:b w:val="0"/>
          <w:szCs w:val="24"/>
        </w:rPr>
        <w:t>NEET will present 202</w:t>
      </w:r>
      <w:r w:rsidR="00096829">
        <w:rPr>
          <w:b w:val="0"/>
          <w:szCs w:val="24"/>
        </w:rPr>
        <w:t>5</w:t>
      </w:r>
      <w:r>
        <w:rPr>
          <w:b w:val="0"/>
          <w:szCs w:val="24"/>
        </w:rPr>
        <w:t xml:space="preserve"> Local Planning Assumptions </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EKPC Supplemental Projects</w:t>
      </w:r>
    </w:p>
    <w:p w:rsidR="006F4C16" w:rsidP="006F4C16">
      <w:pPr>
        <w:pStyle w:val="ListSubhead1"/>
        <w:numPr>
          <w:ilvl w:val="0"/>
          <w:numId w:val="0"/>
        </w:numPr>
        <w:spacing w:after="0"/>
        <w:ind w:left="360"/>
        <w:rPr>
          <w:b w:val="0"/>
          <w:szCs w:val="24"/>
        </w:rPr>
      </w:pPr>
      <w:r>
        <w:rPr>
          <w:b w:val="0"/>
          <w:szCs w:val="24"/>
        </w:rPr>
        <w:t>EKPC</w:t>
      </w:r>
      <w:r w:rsidRPr="00F1598C">
        <w:rPr>
          <w:b w:val="0"/>
          <w:szCs w:val="24"/>
        </w:rPr>
        <w:t xml:space="preserve"> will present </w:t>
      </w:r>
      <w:r>
        <w:rPr>
          <w:b w:val="0"/>
          <w:szCs w:val="24"/>
        </w:rPr>
        <w:t>2 potential solutions</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DEOK Supplemental Projects</w:t>
      </w:r>
    </w:p>
    <w:p w:rsidR="006F4C16" w:rsidP="006F4C16">
      <w:pPr>
        <w:pStyle w:val="ListSubhead1"/>
        <w:numPr>
          <w:ilvl w:val="0"/>
          <w:numId w:val="0"/>
        </w:numPr>
        <w:spacing w:after="0"/>
        <w:ind w:left="360"/>
        <w:rPr>
          <w:b w:val="0"/>
          <w:szCs w:val="24"/>
        </w:rPr>
      </w:pPr>
      <w:r>
        <w:rPr>
          <w:b w:val="0"/>
          <w:szCs w:val="24"/>
        </w:rPr>
        <w:t>DEOK</w:t>
      </w:r>
      <w:r w:rsidRPr="00F1598C">
        <w:rPr>
          <w:b w:val="0"/>
          <w:szCs w:val="24"/>
        </w:rPr>
        <w:t xml:space="preserve"> will present </w:t>
      </w:r>
      <w:r>
        <w:rPr>
          <w:b w:val="0"/>
          <w:szCs w:val="24"/>
        </w:rPr>
        <w:t>1 need</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APS Supplemental Projects</w:t>
      </w:r>
    </w:p>
    <w:p w:rsidR="006F4C16" w:rsidP="006F4C16">
      <w:pPr>
        <w:pStyle w:val="ListSubhead1"/>
        <w:numPr>
          <w:ilvl w:val="0"/>
          <w:numId w:val="0"/>
        </w:numPr>
        <w:spacing w:after="0"/>
        <w:ind w:left="360"/>
        <w:rPr>
          <w:b w:val="0"/>
          <w:szCs w:val="24"/>
        </w:rPr>
      </w:pPr>
      <w:r>
        <w:rPr>
          <w:b w:val="0"/>
          <w:szCs w:val="24"/>
        </w:rPr>
        <w:t>APS</w:t>
      </w:r>
      <w:r w:rsidRPr="00F1598C">
        <w:rPr>
          <w:b w:val="0"/>
          <w:szCs w:val="24"/>
        </w:rPr>
        <w:t xml:space="preserve"> will present </w:t>
      </w:r>
      <w:r>
        <w:rPr>
          <w:b w:val="0"/>
          <w:szCs w:val="24"/>
        </w:rPr>
        <w:t>16 needs</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ATSI Supplemental Projects</w:t>
      </w:r>
    </w:p>
    <w:p w:rsidR="006F4C16" w:rsidP="006F4C16">
      <w:pPr>
        <w:pStyle w:val="ListSubhead1"/>
        <w:numPr>
          <w:ilvl w:val="0"/>
          <w:numId w:val="0"/>
        </w:numPr>
        <w:spacing w:after="0"/>
        <w:ind w:left="360"/>
        <w:rPr>
          <w:b w:val="0"/>
          <w:szCs w:val="24"/>
        </w:rPr>
      </w:pPr>
      <w:r>
        <w:rPr>
          <w:b w:val="0"/>
          <w:szCs w:val="24"/>
        </w:rPr>
        <w:t>ATSI</w:t>
      </w:r>
      <w:r w:rsidRPr="00F1598C">
        <w:rPr>
          <w:b w:val="0"/>
          <w:szCs w:val="24"/>
        </w:rPr>
        <w:t xml:space="preserve"> will present </w:t>
      </w:r>
      <w:r>
        <w:rPr>
          <w:b w:val="0"/>
          <w:szCs w:val="24"/>
        </w:rPr>
        <w:t>3 needs</w:t>
      </w:r>
    </w:p>
    <w:p w:rsidR="006F4C16" w:rsidP="006F4C16">
      <w:pPr>
        <w:pStyle w:val="ListSubhead1"/>
        <w:numPr>
          <w:ilvl w:val="0"/>
          <w:numId w:val="0"/>
        </w:numPr>
        <w:spacing w:after="0"/>
        <w:ind w:left="360"/>
        <w:rPr>
          <w:b w:val="0"/>
          <w:szCs w:val="24"/>
        </w:rPr>
      </w:pPr>
    </w:p>
    <w:p w:rsidR="006F4C16" w:rsidRPr="00F1598C" w:rsidP="006F4C16">
      <w:pPr>
        <w:pStyle w:val="ListSubhead1"/>
        <w:spacing w:after="0"/>
        <w:rPr>
          <w:szCs w:val="24"/>
        </w:rPr>
      </w:pPr>
      <w:r>
        <w:rPr>
          <w:szCs w:val="24"/>
        </w:rPr>
        <w:t>AEP Supplemental Projects</w:t>
      </w:r>
    </w:p>
    <w:p w:rsidR="006F4C16" w:rsidP="006F4C16">
      <w:pPr>
        <w:pStyle w:val="ListSubhead1"/>
        <w:numPr>
          <w:ilvl w:val="0"/>
          <w:numId w:val="0"/>
        </w:numPr>
        <w:spacing w:after="0"/>
        <w:ind w:left="360"/>
        <w:rPr>
          <w:b w:val="0"/>
          <w:szCs w:val="24"/>
        </w:rPr>
      </w:pPr>
      <w:r>
        <w:rPr>
          <w:b w:val="0"/>
          <w:szCs w:val="24"/>
        </w:rPr>
        <w:t>AEP</w:t>
      </w:r>
      <w:r w:rsidRPr="00F1598C">
        <w:rPr>
          <w:b w:val="0"/>
          <w:szCs w:val="24"/>
        </w:rPr>
        <w:t xml:space="preserve"> will present</w:t>
      </w:r>
      <w:r>
        <w:rPr>
          <w:b w:val="0"/>
          <w:szCs w:val="24"/>
        </w:rPr>
        <w:t xml:space="preserve"> 1 scope change, 3 needs and</w:t>
      </w:r>
      <w:r w:rsidRPr="00F1598C">
        <w:rPr>
          <w:b w:val="0"/>
          <w:szCs w:val="24"/>
        </w:rPr>
        <w:t xml:space="preserve"> </w:t>
      </w:r>
      <w:r>
        <w:rPr>
          <w:b w:val="0"/>
          <w:szCs w:val="24"/>
        </w:rPr>
        <w:t>3 potential solutions</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040686">
      <w:pPr>
        <w:pStyle w:val="ListSubhead1"/>
        <w:numPr>
          <w:ilvl w:val="0"/>
          <w:numId w:val="26"/>
        </w:numPr>
      </w:pPr>
      <w:r>
        <w:t xml:space="preserve">Informational Only - </w:t>
      </w:r>
      <w:r w:rsidRPr="00432194">
        <w:t>M-3 Process Needs Status</w:t>
      </w:r>
      <w:r>
        <w:br/>
      </w:r>
      <w:r w:rsidRPr="00040686">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040686">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587384" w:rsidP="00096829">
            <w:pPr>
              <w:rPr>
                <w:rFonts w:ascii="Arial Narrow" w:eastAsia="Times New Roman" w:hAnsi="Arial Narrow" w:cs="Calibri"/>
                <w:color w:val="000000"/>
                <w:sz w:val="18"/>
              </w:rPr>
            </w:pPr>
            <w:r>
              <w:rPr>
                <w:rFonts w:ascii="Arial Narrow" w:eastAsia="Times New Roman" w:hAnsi="Arial Narrow" w:cs="Calibri"/>
                <w:color w:val="000000"/>
                <w:sz w:val="18"/>
              </w:rPr>
              <w:t>January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w:t>
            </w:r>
            <w:r>
              <w:rPr>
                <w:rFonts w:ascii="Arial Narrow" w:eastAsia="Times New Roman" w:hAnsi="Arial Narrow" w:cs="Calibri"/>
                <w:color w:val="000000"/>
                <w:sz w:val="18"/>
              </w:rPr>
              <w:t>5</w:t>
            </w:r>
          </w:p>
        </w:tc>
        <w:tc>
          <w:tcPr>
            <w:tcW w:w="4256"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587384" w:rsidP="00096829">
            <w:pPr>
              <w:rPr>
                <w:rFonts w:ascii="Arial Narrow" w:eastAsia="Times New Roman" w:hAnsi="Arial Narrow" w:cs="Calibri"/>
                <w:color w:val="000000"/>
                <w:sz w:val="18"/>
              </w:rPr>
            </w:pPr>
            <w:r>
              <w:rPr>
                <w:rFonts w:ascii="Arial Narrow" w:eastAsia="Times New Roman" w:hAnsi="Arial Narrow" w:cs="Calibri"/>
                <w:color w:val="000000"/>
                <w:sz w:val="18"/>
              </w:rPr>
              <w:t>February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w:t>
            </w:r>
            <w:r>
              <w:rPr>
                <w:rFonts w:ascii="Arial Narrow" w:eastAsia="Times New Roman" w:hAnsi="Arial Narrow" w:cs="Calibri"/>
                <w:color w:val="000000"/>
                <w:sz w:val="18"/>
              </w:rPr>
              <w:t>5</w:t>
            </w:r>
            <w:bookmarkStart w:id="2" w:name="_GoBack"/>
            <w:bookmarkEnd w:id="2"/>
          </w:p>
        </w:tc>
        <w:tc>
          <w:tcPr>
            <w:tcW w:w="4256"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7384" w:rsidRPr="00A746C2" w:rsidP="0058738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096829">
            <w:pPr>
              <w:rPr>
                <w:rFonts w:ascii="Arial Narrow" w:eastAsia="Times New Roman" w:hAnsi="Arial Narrow" w:cs="Calibri"/>
                <w:color w:val="000000"/>
                <w:sz w:val="18"/>
              </w:rPr>
            </w:pPr>
            <w:r>
              <w:rPr>
                <w:rFonts w:ascii="Arial Narrow" w:eastAsia="Times New Roman" w:hAnsi="Arial Narrow" w:cs="Calibri"/>
                <w:color w:val="000000"/>
                <w:sz w:val="18"/>
              </w:rPr>
              <w:t>March</w:t>
            </w:r>
            <w:r w:rsidR="00347D34">
              <w:rPr>
                <w:rFonts w:ascii="Arial Narrow" w:eastAsia="Times New Roman" w:hAnsi="Arial Narrow" w:cs="Calibri"/>
                <w:color w:val="000000"/>
                <w:sz w:val="18"/>
              </w:rPr>
              <w:t xml:space="preserve"> 1</w:t>
            </w:r>
            <w:r>
              <w:rPr>
                <w:rFonts w:ascii="Arial Narrow" w:eastAsia="Times New Roman" w:hAnsi="Arial Narrow" w:cs="Calibri"/>
                <w:color w:val="000000"/>
                <w:sz w:val="18"/>
              </w:rPr>
              <w:t>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w:t>
            </w:r>
            <w:r>
              <w:rPr>
                <w:rFonts w:ascii="Arial Narrow" w:eastAsia="Times New Roman" w:hAnsi="Arial Narrow" w:cs="Calibri"/>
                <w:color w:val="000000"/>
                <w:sz w:val="18"/>
              </w:rPr>
              <w:t>5</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6829">
      <w:rPr>
        <w:rStyle w:val="PageNumber"/>
        <w:noProof/>
      </w:rPr>
      <w:t>3</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0686"/>
    <w:rsid w:val="000420C8"/>
    <w:rsid w:val="00043B75"/>
    <w:rsid w:val="00050A4C"/>
    <w:rsid w:val="00056992"/>
    <w:rsid w:val="0006159F"/>
    <w:rsid w:val="000629C6"/>
    <w:rsid w:val="000826FF"/>
    <w:rsid w:val="00090073"/>
    <w:rsid w:val="00092135"/>
    <w:rsid w:val="000932DD"/>
    <w:rsid w:val="00096829"/>
    <w:rsid w:val="000A6476"/>
    <w:rsid w:val="000C7570"/>
    <w:rsid w:val="000F444D"/>
    <w:rsid w:val="00103D80"/>
    <w:rsid w:val="0011162D"/>
    <w:rsid w:val="00130590"/>
    <w:rsid w:val="00144E32"/>
    <w:rsid w:val="001641B0"/>
    <w:rsid w:val="001678E8"/>
    <w:rsid w:val="00172BAF"/>
    <w:rsid w:val="0018111F"/>
    <w:rsid w:val="0018315E"/>
    <w:rsid w:val="001916F3"/>
    <w:rsid w:val="001B2242"/>
    <w:rsid w:val="001B4C7A"/>
    <w:rsid w:val="001C0CC0"/>
    <w:rsid w:val="001C1F9F"/>
    <w:rsid w:val="001C3BE4"/>
    <w:rsid w:val="001D3B68"/>
    <w:rsid w:val="001D7B42"/>
    <w:rsid w:val="001E1AD6"/>
    <w:rsid w:val="001E2D17"/>
    <w:rsid w:val="001F20F0"/>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47D34"/>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87384"/>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6F4C1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B1BDE"/>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2154C"/>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44FD6"/>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0775"/>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C444E0"/>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4F82-9450-498F-BDE5-BFE0AB3F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