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bookmarkStart w:id="0" w:name="_GoBack"/>
      <w:bookmarkEnd w:id="0"/>
      <w:r>
        <w:t>As of</w:t>
      </w:r>
      <w:r w:rsidR="0056775C">
        <w:t xml:space="preserve"> </w:t>
      </w:r>
      <w:r w:rsidR="007A3AA4">
        <w:t>Februrary</w:t>
      </w:r>
      <w:r>
        <w:t xml:space="preserve"> </w:t>
      </w:r>
      <w:r w:rsidR="0056775C">
        <w:t>1</w:t>
      </w:r>
      <w:r w:rsidR="00353B2E">
        <w:t>3</w:t>
      </w:r>
      <w:r w:rsidRPr="0056775C" w:rsidR="0056775C">
        <w:rPr>
          <w:vertAlign w:val="superscript"/>
        </w:rPr>
        <w:t>th</w:t>
      </w:r>
      <w:r>
        <w:t>, 202</w:t>
      </w:r>
      <w:r w:rsidR="009B2B7E">
        <w:t>5</w:t>
      </w:r>
      <w:r w:rsidR="0056775C">
        <w:t xml:space="preserve">  </w:t>
      </w:r>
    </w:p>
    <w:p w:rsidR="00260F75" w:rsidRPr="00C814F0" w:rsidP="00260F7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D4890">
        <w:rPr>
          <w:rFonts w:ascii="Arial Narrow" w:eastAsia="Times New Roman" w:hAnsi="Arial Narrow" w:cs="Times New Roman"/>
          <w:b/>
          <w:sz w:val="24"/>
          <w:szCs w:val="24"/>
        </w:rPr>
        <w:t>West</w:t>
      </w:r>
    </w:p>
    <w:p w:rsidR="00260F75" w:rsidRPr="00C814F0" w:rsidP="00260F75">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260F75" w:rsidRPr="00C814F0" w:rsidP="00260F75">
      <w:pPr>
        <w:pStyle w:val="MeetingDetails"/>
      </w:pPr>
      <w:r>
        <w:t>Thursday February 14</w:t>
      </w:r>
      <w:r>
        <w:rPr>
          <w:vertAlign w:val="superscript"/>
        </w:rPr>
        <w:t>th</w:t>
      </w:r>
      <w:r w:rsidRPr="00C814F0">
        <w:t>, 20</w:t>
      </w:r>
      <w:r w:rsidR="001D4890">
        <w:t>25</w:t>
      </w:r>
    </w:p>
    <w:p w:rsidR="00260F75" w:rsidRPr="00C814F0" w:rsidP="00260F75">
      <w:pPr>
        <w:pStyle w:val="MeetingDetails"/>
        <w:rPr>
          <w:u w:val="single"/>
        </w:rPr>
      </w:pPr>
      <w:r>
        <w:t>1:00 p.m. – 4</w:t>
      </w:r>
      <w:r w:rsidRPr="00C814F0">
        <w:t>:00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260F75">
        <w:t xml:space="preserve">on </w:t>
      </w:r>
      <w:r w:rsidR="003E1CEF">
        <w:t>(1:00-1:05)</w:t>
      </w:r>
    </w:p>
    <w:bookmarkEnd w:id="1"/>
    <w:bookmarkEnd w:id="2"/>
    <w:p w:rsidR="002C6057" w:rsidP="002C6057">
      <w:pPr>
        <w:pStyle w:val="SecondaryHeading-Numbered"/>
        <w:rPr>
          <w:b w:val="0"/>
        </w:rPr>
      </w:pPr>
      <w:r w:rsidRPr="00260F75">
        <w:rPr>
          <w:b w:val="0"/>
        </w:rPr>
        <w:t>Welcome, announcements and review of the Anti-trust, Code of Conduct, and Media Participation Guidelines. Review Transmission Expansion Advisory Committee Agenda for this meeting.</w:t>
      </w:r>
    </w:p>
    <w:p w:rsidR="00260F75" w:rsidRPr="00260F75" w:rsidP="002C6057">
      <w:pPr>
        <w:pStyle w:val="SecondaryHeading-Numbered"/>
        <w:rPr>
          <w:b w:val="0"/>
        </w:rPr>
      </w:pPr>
      <w:r>
        <w:rPr>
          <w:b w:val="0"/>
        </w:rPr>
        <w:t>Review Agenda for this meeting</w:t>
      </w:r>
    </w:p>
    <w:p w:rsidR="000C45C1" w:rsidRPr="007A3AA4" w:rsidP="007A3AA4">
      <w:pPr>
        <w:pStyle w:val="PrimaryHeading"/>
      </w:pPr>
      <w:r>
        <w:t>Supplemental</w:t>
      </w:r>
      <w:r w:rsidR="00260F75">
        <w:t xml:space="preserve"> Updates </w:t>
      </w:r>
      <w:r w:rsidR="003E1CEF">
        <w:t>(1:05-4:00)</w:t>
      </w:r>
    </w:p>
    <w:p w:rsidR="00260F75" w:rsidRPr="00D22FE4" w:rsidP="00D22FE4">
      <w:pPr>
        <w:pStyle w:val="ListSubhead1"/>
        <w:numPr>
          <w:ilvl w:val="0"/>
          <w:numId w:val="17"/>
        </w:numPr>
        <w:spacing w:after="0"/>
        <w:rPr>
          <w:szCs w:val="24"/>
        </w:rPr>
      </w:pPr>
      <w:r>
        <w:rPr>
          <w:szCs w:val="24"/>
        </w:rPr>
        <w:t>AMPT</w:t>
      </w:r>
      <w:r w:rsidRPr="00D22FE4">
        <w:rPr>
          <w:szCs w:val="24"/>
        </w:rPr>
        <w:t xml:space="preserve"> Supplemental Projects</w:t>
      </w:r>
    </w:p>
    <w:p w:rsidR="00260F75" w:rsidP="00260F75">
      <w:pPr>
        <w:pStyle w:val="ListSubhead1"/>
        <w:numPr>
          <w:ilvl w:val="0"/>
          <w:numId w:val="0"/>
        </w:numPr>
        <w:spacing w:after="0"/>
        <w:ind w:left="360"/>
        <w:rPr>
          <w:b w:val="0"/>
          <w:szCs w:val="24"/>
        </w:rPr>
      </w:pPr>
      <w:r>
        <w:rPr>
          <w:b w:val="0"/>
          <w:szCs w:val="24"/>
        </w:rPr>
        <w:t>AMPT</w:t>
      </w:r>
      <w:r>
        <w:rPr>
          <w:b w:val="0"/>
          <w:szCs w:val="24"/>
        </w:rPr>
        <w:t xml:space="preserve"> will present </w:t>
      </w:r>
      <w:r w:rsidR="00D22FE4">
        <w:rPr>
          <w:b w:val="0"/>
          <w:szCs w:val="24"/>
        </w:rPr>
        <w:t>1</w:t>
      </w:r>
      <w:r>
        <w:rPr>
          <w:b w:val="0"/>
          <w:szCs w:val="24"/>
        </w:rPr>
        <w:t xml:space="preserve"> </w:t>
      </w:r>
      <w:r>
        <w:rPr>
          <w:b w:val="0"/>
          <w:szCs w:val="24"/>
        </w:rPr>
        <w:t>potential solution</w:t>
      </w:r>
    </w:p>
    <w:p w:rsidR="00260F75" w:rsidP="00260F75">
      <w:pPr>
        <w:pStyle w:val="ListSubhead1"/>
        <w:numPr>
          <w:ilvl w:val="0"/>
          <w:numId w:val="0"/>
        </w:numPr>
        <w:spacing w:after="0"/>
        <w:ind w:left="360"/>
        <w:rPr>
          <w:b w:val="0"/>
          <w:szCs w:val="24"/>
        </w:rPr>
      </w:pPr>
    </w:p>
    <w:p w:rsidR="00260F75" w:rsidRPr="00F1598C" w:rsidP="00260F75">
      <w:pPr>
        <w:pStyle w:val="ListSubhead1"/>
        <w:spacing w:after="0"/>
        <w:rPr>
          <w:szCs w:val="24"/>
        </w:rPr>
      </w:pPr>
      <w:r>
        <w:rPr>
          <w:szCs w:val="24"/>
        </w:rPr>
        <w:t>DLCO</w:t>
      </w:r>
      <w:r>
        <w:rPr>
          <w:szCs w:val="24"/>
        </w:rPr>
        <w:t xml:space="preserve"> Supplemental Projects</w:t>
      </w:r>
    </w:p>
    <w:p w:rsidR="00260F75" w:rsidP="00260F75">
      <w:pPr>
        <w:pStyle w:val="ListSubhead1"/>
        <w:numPr>
          <w:ilvl w:val="0"/>
          <w:numId w:val="0"/>
        </w:numPr>
        <w:spacing w:after="0"/>
        <w:ind w:left="360"/>
        <w:rPr>
          <w:b w:val="0"/>
          <w:szCs w:val="24"/>
        </w:rPr>
      </w:pPr>
      <w:r>
        <w:rPr>
          <w:b w:val="0"/>
          <w:szCs w:val="24"/>
        </w:rPr>
        <w:t>DLCO</w:t>
      </w:r>
      <w:r w:rsidRPr="005569CD">
        <w:rPr>
          <w:b w:val="0"/>
          <w:szCs w:val="24"/>
        </w:rPr>
        <w:t xml:space="preserve"> will present </w:t>
      </w:r>
      <w:r>
        <w:rPr>
          <w:b w:val="0"/>
          <w:szCs w:val="24"/>
        </w:rPr>
        <w:t>4</w:t>
      </w:r>
      <w:r w:rsidR="00D22FE4">
        <w:rPr>
          <w:b w:val="0"/>
          <w:szCs w:val="24"/>
        </w:rPr>
        <w:t xml:space="preserve"> need</w:t>
      </w:r>
      <w:r w:rsidR="000C45C1">
        <w:rPr>
          <w:b w:val="0"/>
          <w:szCs w:val="24"/>
        </w:rPr>
        <w:t>s</w:t>
      </w:r>
      <w:r w:rsidRPr="005569CD">
        <w:rPr>
          <w:b w:val="0"/>
          <w:szCs w:val="24"/>
        </w:rPr>
        <w:t xml:space="preserve">  </w:t>
      </w:r>
    </w:p>
    <w:p w:rsidR="007A3AA4" w:rsidP="00260F75">
      <w:pPr>
        <w:pStyle w:val="ListSubhead1"/>
        <w:numPr>
          <w:ilvl w:val="0"/>
          <w:numId w:val="0"/>
        </w:numPr>
        <w:spacing w:after="0"/>
        <w:ind w:left="360"/>
        <w:rPr>
          <w:b w:val="0"/>
          <w:szCs w:val="24"/>
        </w:rPr>
      </w:pPr>
    </w:p>
    <w:p w:rsidR="007A3AA4" w:rsidP="007A3AA4">
      <w:pPr>
        <w:pStyle w:val="ListSubhead1"/>
        <w:spacing w:after="0"/>
      </w:pPr>
      <w:r>
        <w:t>COMED</w:t>
      </w:r>
      <w:r w:rsidRPr="005569CD">
        <w:t xml:space="preserve"> Supplemental Projects</w:t>
      </w:r>
    </w:p>
    <w:p w:rsidR="007A3AA4" w:rsidP="007A3AA4">
      <w:pPr>
        <w:pStyle w:val="ListSubhead1"/>
        <w:numPr>
          <w:ilvl w:val="0"/>
          <w:numId w:val="0"/>
        </w:numPr>
        <w:spacing w:after="0"/>
        <w:ind w:left="360"/>
        <w:rPr>
          <w:b w:val="0"/>
          <w:szCs w:val="24"/>
        </w:rPr>
      </w:pPr>
      <w:r>
        <w:rPr>
          <w:b w:val="0"/>
          <w:szCs w:val="24"/>
        </w:rPr>
        <w:t>COMED</w:t>
      </w:r>
      <w:r w:rsidRPr="00D22FE4">
        <w:rPr>
          <w:b w:val="0"/>
          <w:szCs w:val="24"/>
        </w:rPr>
        <w:t xml:space="preserve"> will present</w:t>
      </w:r>
      <w:r>
        <w:rPr>
          <w:b w:val="0"/>
          <w:szCs w:val="24"/>
        </w:rPr>
        <w:t xml:space="preserve"> 1 needs and</w:t>
      </w:r>
      <w:r w:rsidRPr="00D22FE4">
        <w:rPr>
          <w:b w:val="0"/>
          <w:szCs w:val="24"/>
        </w:rPr>
        <w:t xml:space="preserve"> </w:t>
      </w:r>
      <w:r>
        <w:rPr>
          <w:b w:val="0"/>
          <w:szCs w:val="24"/>
        </w:rPr>
        <w:t>3</w:t>
      </w:r>
      <w:r w:rsidRPr="00D22FE4">
        <w:rPr>
          <w:b w:val="0"/>
          <w:szCs w:val="24"/>
        </w:rPr>
        <w:t xml:space="preserve"> potential solution</w:t>
      </w:r>
      <w:r>
        <w:rPr>
          <w:b w:val="0"/>
          <w:szCs w:val="24"/>
        </w:rPr>
        <w:t>s</w:t>
      </w:r>
    </w:p>
    <w:p w:rsidR="00AF5B1A" w:rsidP="007A3AA4">
      <w:pPr>
        <w:pStyle w:val="ListSubhead1"/>
        <w:numPr>
          <w:ilvl w:val="0"/>
          <w:numId w:val="0"/>
        </w:numPr>
        <w:spacing w:after="0"/>
        <w:ind w:left="360"/>
        <w:rPr>
          <w:b w:val="0"/>
          <w:szCs w:val="24"/>
        </w:rPr>
      </w:pPr>
    </w:p>
    <w:p w:rsidR="00AF5B1A" w:rsidP="00AF5B1A">
      <w:pPr>
        <w:pStyle w:val="ListSubhead1"/>
        <w:spacing w:after="0"/>
      </w:pPr>
      <w:r>
        <w:t>APS</w:t>
      </w:r>
      <w:r w:rsidRPr="005569CD">
        <w:t xml:space="preserve"> Supplemental Projects</w:t>
      </w:r>
    </w:p>
    <w:p w:rsidR="00AF5B1A" w:rsidP="00AF5B1A">
      <w:pPr>
        <w:pStyle w:val="ListSubhead1"/>
        <w:numPr>
          <w:ilvl w:val="0"/>
          <w:numId w:val="0"/>
        </w:numPr>
        <w:spacing w:after="0"/>
        <w:ind w:left="360"/>
        <w:rPr>
          <w:b w:val="0"/>
          <w:szCs w:val="24"/>
        </w:rPr>
      </w:pPr>
      <w:r>
        <w:rPr>
          <w:b w:val="0"/>
          <w:szCs w:val="24"/>
        </w:rPr>
        <w:t>APS</w:t>
      </w:r>
      <w:r w:rsidRPr="00D22FE4">
        <w:rPr>
          <w:b w:val="0"/>
          <w:szCs w:val="24"/>
        </w:rPr>
        <w:t xml:space="preserve"> will present</w:t>
      </w:r>
      <w:r>
        <w:rPr>
          <w:b w:val="0"/>
          <w:szCs w:val="24"/>
        </w:rPr>
        <w:t xml:space="preserve"> 1 needs and</w:t>
      </w:r>
      <w:r w:rsidRPr="00D22FE4">
        <w:rPr>
          <w:b w:val="0"/>
          <w:szCs w:val="24"/>
        </w:rPr>
        <w:t xml:space="preserve"> </w:t>
      </w:r>
      <w:r>
        <w:rPr>
          <w:b w:val="0"/>
          <w:szCs w:val="24"/>
        </w:rPr>
        <w:t>4</w:t>
      </w:r>
      <w:r w:rsidRPr="00D22FE4">
        <w:rPr>
          <w:b w:val="0"/>
          <w:szCs w:val="24"/>
        </w:rPr>
        <w:t xml:space="preserve"> potential solution</w:t>
      </w:r>
      <w:r>
        <w:rPr>
          <w:b w:val="0"/>
          <w:szCs w:val="24"/>
        </w:rPr>
        <w:t>s</w:t>
      </w:r>
    </w:p>
    <w:p w:rsidR="00D22FE4" w:rsidP="00D22FE4">
      <w:pPr>
        <w:pStyle w:val="ListSubhead1"/>
        <w:numPr>
          <w:ilvl w:val="0"/>
          <w:numId w:val="0"/>
        </w:numPr>
        <w:spacing w:after="0"/>
        <w:ind w:left="360"/>
        <w:rPr>
          <w:b w:val="0"/>
          <w:szCs w:val="24"/>
        </w:rPr>
      </w:pPr>
    </w:p>
    <w:p w:rsidR="00D22FE4" w:rsidP="00D22FE4">
      <w:pPr>
        <w:pStyle w:val="ListSubhead1"/>
        <w:spacing w:after="0"/>
      </w:pPr>
      <w:r>
        <w:t>AEP</w:t>
      </w:r>
      <w:r w:rsidRPr="005569CD">
        <w:t xml:space="preserve"> Supplemental Projects</w:t>
      </w:r>
    </w:p>
    <w:p w:rsidR="00D22FE4" w:rsidP="00D22FE4">
      <w:pPr>
        <w:pStyle w:val="ListSubhead1"/>
        <w:numPr>
          <w:ilvl w:val="0"/>
          <w:numId w:val="0"/>
        </w:numPr>
        <w:spacing w:after="0"/>
        <w:ind w:left="360"/>
        <w:rPr>
          <w:b w:val="0"/>
          <w:szCs w:val="24"/>
        </w:rPr>
      </w:pPr>
      <w:r>
        <w:rPr>
          <w:b w:val="0"/>
          <w:szCs w:val="24"/>
        </w:rPr>
        <w:t>AEP</w:t>
      </w:r>
      <w:r w:rsidR="007A3AA4">
        <w:rPr>
          <w:b w:val="0"/>
          <w:szCs w:val="24"/>
        </w:rPr>
        <w:t xml:space="preserve"> will present 7 needs and 1</w:t>
      </w:r>
      <w:r w:rsidRPr="00D22FE4">
        <w:rPr>
          <w:b w:val="0"/>
          <w:szCs w:val="24"/>
        </w:rPr>
        <w:t xml:space="preserve"> potential solution</w:t>
      </w:r>
    </w:p>
    <w:p w:rsidR="007A3AA4" w:rsidP="00D22FE4">
      <w:pPr>
        <w:pStyle w:val="ListSubhead1"/>
        <w:numPr>
          <w:ilvl w:val="0"/>
          <w:numId w:val="0"/>
        </w:numPr>
        <w:spacing w:after="0"/>
        <w:ind w:left="360"/>
        <w:rPr>
          <w:b w:val="0"/>
          <w:szCs w:val="24"/>
        </w:rPr>
      </w:pPr>
    </w:p>
    <w:p w:rsidR="007A3AA4" w:rsidP="007A3AA4">
      <w:pPr>
        <w:pStyle w:val="ListSubhead1"/>
        <w:spacing w:after="0"/>
      </w:pPr>
      <w:r>
        <w:t>DEOK</w:t>
      </w:r>
      <w:r w:rsidRPr="005569CD">
        <w:t xml:space="preserve"> Supplemental Projects</w:t>
      </w:r>
    </w:p>
    <w:p w:rsidR="007A3AA4" w:rsidP="007A3AA4">
      <w:pPr>
        <w:pStyle w:val="ListSubhead1"/>
        <w:numPr>
          <w:ilvl w:val="0"/>
          <w:numId w:val="0"/>
        </w:numPr>
        <w:spacing w:after="0"/>
        <w:ind w:left="360"/>
        <w:rPr>
          <w:b w:val="0"/>
          <w:szCs w:val="24"/>
        </w:rPr>
      </w:pPr>
      <w:r>
        <w:rPr>
          <w:b w:val="0"/>
          <w:szCs w:val="24"/>
        </w:rPr>
        <w:t>DEOK will present 3</w:t>
      </w:r>
      <w:r w:rsidRPr="00D22FE4">
        <w:rPr>
          <w:b w:val="0"/>
          <w:szCs w:val="24"/>
        </w:rPr>
        <w:t xml:space="preserve"> potential solution</w:t>
      </w:r>
      <w:r>
        <w:rPr>
          <w:b w:val="0"/>
          <w:szCs w:val="24"/>
        </w:rPr>
        <w:t>s</w:t>
      </w:r>
    </w:p>
    <w:p w:rsidR="000C45C1" w:rsidP="00D22FE4">
      <w:pPr>
        <w:pStyle w:val="ListSubhead1"/>
        <w:numPr>
          <w:ilvl w:val="0"/>
          <w:numId w:val="0"/>
        </w:numPr>
        <w:spacing w:after="0"/>
        <w:ind w:left="360"/>
        <w:rPr>
          <w:b w:val="0"/>
          <w:szCs w:val="24"/>
        </w:rPr>
      </w:pPr>
    </w:p>
    <w:p w:rsidR="000C45C1" w:rsidP="000C45C1">
      <w:pPr>
        <w:pStyle w:val="ListSubhead1"/>
        <w:spacing w:after="0"/>
      </w:pPr>
      <w:r>
        <w:t>ATSI</w:t>
      </w:r>
      <w:r w:rsidRPr="005569CD">
        <w:t xml:space="preserve"> Supplemental Projects</w:t>
      </w:r>
    </w:p>
    <w:p w:rsidR="000C45C1" w:rsidRPr="00D22FE4" w:rsidP="00D22FE4">
      <w:pPr>
        <w:pStyle w:val="ListSubhead1"/>
        <w:numPr>
          <w:ilvl w:val="0"/>
          <w:numId w:val="0"/>
        </w:numPr>
        <w:spacing w:after="0"/>
        <w:ind w:left="360"/>
      </w:pPr>
      <w:r>
        <w:rPr>
          <w:b w:val="0"/>
          <w:szCs w:val="24"/>
        </w:rPr>
        <w:t>ATSI</w:t>
      </w:r>
      <w:r w:rsidRPr="00D22FE4">
        <w:rPr>
          <w:b w:val="0"/>
          <w:szCs w:val="24"/>
        </w:rPr>
        <w:t xml:space="preserve"> will present </w:t>
      </w:r>
      <w:r>
        <w:rPr>
          <w:b w:val="0"/>
          <w:szCs w:val="24"/>
        </w:rPr>
        <w:t>1 change to an existing</w:t>
      </w:r>
      <w:r w:rsidR="0032532C">
        <w:rPr>
          <w:b w:val="0"/>
          <w:szCs w:val="24"/>
        </w:rPr>
        <w:t xml:space="preserve"> supplemental</w:t>
      </w:r>
      <w:r>
        <w:rPr>
          <w:b w:val="0"/>
          <w:szCs w:val="24"/>
        </w:rPr>
        <w:t xml:space="preserve"> project </w:t>
      </w:r>
    </w:p>
    <w:p w:rsidR="00260F75" w:rsidP="00260F75">
      <w:pPr>
        <w:pStyle w:val="ListSubhead1"/>
        <w:numPr>
          <w:ilvl w:val="0"/>
          <w:numId w:val="0"/>
        </w:numPr>
        <w:spacing w:after="0"/>
        <w:ind w:left="360"/>
        <w:rPr>
          <w:b w:val="0"/>
          <w:szCs w:val="24"/>
        </w:rPr>
      </w:pPr>
    </w:p>
    <w:p w:rsidR="001D3B68" w:rsidP="007C2954">
      <w:pPr>
        <w:pStyle w:val="PrimaryHeading"/>
      </w:pPr>
      <w:r>
        <w:t>Informational Only</w:t>
      </w:r>
    </w:p>
    <w:p w:rsidR="00260F75" w:rsidRPr="00D66690" w:rsidP="00260F75">
      <w:pPr>
        <w:pStyle w:val="ListSubhead1"/>
        <w:numPr>
          <w:ilvl w:val="0"/>
          <w:numId w:val="15"/>
        </w:numPr>
      </w:pPr>
      <w:r>
        <w:t xml:space="preserve">Informational Only - </w:t>
      </w:r>
      <w:r w:rsidRPr="00432194">
        <w:t>M-3 Process Needs Status</w:t>
      </w:r>
      <w:r>
        <w:br/>
      </w:r>
      <w:r w:rsidRPr="00260F75">
        <w:rPr>
          <w:b w:val="0"/>
        </w:rPr>
        <w:t>This spreadsheet allows stakeholders to track process defined in Open Access Transmission Tariff, Attachment M-3 and leading to the development of the supplemental projects.</w:t>
      </w:r>
    </w:p>
    <w:p w:rsidR="00260F75" w:rsidRPr="00C814F0" w:rsidP="00260F75">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260F75" w:rsidP="00260F75">
      <w:pPr>
        <w:pStyle w:val="ListSubhead1"/>
        <w:rPr>
          <w:b w:val="0"/>
        </w:rPr>
      </w:pPr>
      <w:r>
        <w:t>Informational Only – Planning Community Open Questions</w:t>
      </w:r>
      <w:r>
        <w:br/>
      </w:r>
      <w:r w:rsidRPr="00C814F0">
        <w:rPr>
          <w:b w:val="0"/>
        </w:rPr>
        <w:t>Open questions regarding M-3 projects received through Planning Community.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5103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tcBorders>
              <w:top w:val="none" w:sz="0" w:space="0" w:color="auto"/>
              <w:bottom w:val="none" w:sz="0" w:space="0" w:color="auto"/>
            </w:tcBorders>
            <w:shd w:val="clear" w:color="auto" w:fill="00B0F0" w:themeFill="accent3"/>
          </w:tcPr>
          <w:p w:rsidR="003C3320" w:rsidRPr="0095194C" w:rsidP="00DF1112">
            <w:pPr>
              <w:pStyle w:val="PrimaryHeading"/>
              <w:spacing w:after="0"/>
              <w:rPr>
                <w:b/>
              </w:rPr>
            </w:pPr>
            <w:r>
              <w:rPr>
                <w:b/>
              </w:rPr>
              <w:t>Meeting Wrap Up</w:t>
            </w:r>
          </w:p>
        </w:tc>
      </w:tr>
      <w:tr w:rsidTr="00D5103D">
        <w:tblPrEx>
          <w:tblW w:w="0" w:type="auto"/>
          <w:tblLayout w:type="fixed"/>
          <w:tblCellMar>
            <w:top w:w="43" w:type="dxa"/>
            <w:left w:w="115" w:type="dxa"/>
            <w:right w:w="115" w:type="dxa"/>
          </w:tblCellMar>
          <w:tblLook w:val="04A0"/>
        </w:tblPrEx>
        <w:trPr>
          <w:trHeight w:val="296"/>
        </w:trPr>
        <w:tc>
          <w:tcPr>
            <w:tcW w:w="9360" w:type="dxa"/>
            <w:shd w:val="clear" w:color="auto" w:fill="auto"/>
          </w:tcPr>
          <w:p w:rsidR="00260F75" w:rsidP="00D5103D">
            <w:pPr>
              <w:pStyle w:val="ListSubhead1"/>
              <w:numPr>
                <w:ilvl w:val="0"/>
                <w:numId w:val="16"/>
              </w:numPr>
              <w:spacing w:before="120"/>
            </w:pPr>
            <w:r w:rsidRPr="00260F75">
              <w:t>Discussion and Comments Regarding the Conduct of the Meeting</w:t>
            </w:r>
          </w:p>
          <w:p w:rsidR="003C3320" w:rsidP="00260F75">
            <w:pPr>
              <w:pStyle w:val="AttendeesList"/>
            </w:pPr>
          </w:p>
        </w:tc>
      </w:tr>
    </w:tbl>
    <w:p w:rsidR="007A564A"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D5103D">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D5103D">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D5103D">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w:t>
            </w:r>
            <w:r w:rsidR="00D5103D">
              <w:rPr>
                <w:b w:val="0"/>
                <w:i/>
                <w:color w:val="FFFFFF" w:themeColor="background1"/>
                <w:sz w:val="19"/>
                <w:szCs w:val="19"/>
              </w:rPr>
              <w:t>P</w:t>
            </w:r>
            <w:r w:rsidRPr="00CE451E">
              <w:rPr>
                <w:b w:val="0"/>
                <w:i/>
                <w:color w:val="FFFFFF" w:themeColor="background1"/>
                <w:sz w:val="19"/>
                <w:szCs w:val="19"/>
              </w:rPr>
              <w:t>T deadline*</w:t>
            </w:r>
          </w:p>
        </w:tc>
      </w:tr>
      <w:tr w:rsidTr="00D5103D">
        <w:tblPrEx>
          <w:tblW w:w="0" w:type="auto"/>
          <w:tblLook w:val="04A0"/>
        </w:tblPrEx>
        <w:trPr>
          <w:trHeight w:val="331"/>
        </w:trPr>
        <w:tc>
          <w:tcPr>
            <w:tcW w:w="1890" w:type="dxa"/>
            <w:tcBorders>
              <w:top w:val="none" w:sz="0" w:space="0" w:color="auto"/>
              <w:bottom w:val="single" w:sz="4" w:space="0" w:color="auto"/>
              <w:right w:val="single" w:sz="4" w:space="0" w:color="auto"/>
            </w:tcBorders>
            <w:shd w:val="clear" w:color="auto" w:fill="E1F6FF"/>
          </w:tcPr>
          <w:p w:rsidR="007A3AA4" w:rsidRPr="00BB6921" w:rsidP="007A3AA4">
            <w:pPr>
              <w:pStyle w:val="DisclaimerHeading"/>
              <w:keepLines/>
              <w:spacing w:before="40" w:after="40" w:line="220" w:lineRule="exact"/>
              <w:jc w:val="left"/>
              <w:rPr>
                <w:b w:val="0"/>
                <w:i w:val="0"/>
                <w:color w:val="auto"/>
                <w:sz w:val="18"/>
                <w:szCs w:val="18"/>
              </w:rPr>
            </w:pPr>
            <w:r>
              <w:rPr>
                <w:b w:val="0"/>
                <w:i w:val="0"/>
                <w:color w:val="auto"/>
                <w:sz w:val="18"/>
                <w:szCs w:val="18"/>
              </w:rPr>
              <w:t>March 14</w:t>
            </w:r>
            <w:r w:rsidRPr="00D5103D">
              <w:rPr>
                <w:b w:val="0"/>
                <w:i w:val="0"/>
                <w:color w:val="auto"/>
                <w:sz w:val="18"/>
                <w:szCs w:val="18"/>
                <w:vertAlign w:val="superscript"/>
              </w:rPr>
              <w:t>th</w:t>
            </w:r>
            <w:r>
              <w:rPr>
                <w:b w:val="0"/>
                <w:i w:val="0"/>
                <w:color w:val="auto"/>
                <w:sz w:val="18"/>
                <w:szCs w:val="18"/>
              </w:rPr>
              <w:t>, 2025</w:t>
            </w:r>
          </w:p>
        </w:tc>
        <w:tc>
          <w:tcPr>
            <w:tcW w:w="1800" w:type="dxa"/>
            <w:tcBorders>
              <w:left w:val="single" w:sz="4" w:space="0" w:color="auto"/>
              <w:bottom w:val="single" w:sz="4" w:space="0" w:color="auto"/>
              <w:right w:val="single" w:sz="4" w:space="0" w:color="auto"/>
            </w:tcBorders>
          </w:tcPr>
          <w:p w:rsidR="007A3AA4" w:rsidRPr="00C10A93" w:rsidP="007A3AA4">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left w:val="single" w:sz="4" w:space="0" w:color="auto"/>
              <w:bottom w:val="single" w:sz="4" w:space="0" w:color="auto"/>
              <w:right w:val="single" w:sz="4" w:space="0" w:color="auto"/>
            </w:tcBorders>
          </w:tcPr>
          <w:p w:rsidR="007A3AA4" w:rsidRPr="00C10A93" w:rsidP="007A3AA4">
            <w:pPr>
              <w:pStyle w:val="AttendeesList"/>
              <w:keepLines/>
              <w:spacing w:before="40" w:after="40" w:line="220" w:lineRule="exact"/>
              <w:jc w:val="center"/>
              <w:rPr>
                <w:szCs w:val="18"/>
              </w:rPr>
            </w:pPr>
            <w:r>
              <w:rPr>
                <w:szCs w:val="18"/>
              </w:rPr>
              <w:t>Teleconference</w:t>
            </w:r>
          </w:p>
        </w:tc>
        <w:tc>
          <w:tcPr>
            <w:tcW w:w="1816" w:type="dxa"/>
            <w:tcBorders>
              <w:left w:val="single" w:sz="4" w:space="0" w:color="auto"/>
              <w:bottom w:val="single" w:sz="4" w:space="0" w:color="auto"/>
              <w:right w:val="single" w:sz="4" w:space="0" w:color="auto"/>
            </w:tcBorders>
          </w:tcPr>
          <w:p w:rsidR="007A3AA4" w:rsidRPr="00C10A93" w:rsidP="007A3AA4">
            <w:pPr>
              <w:pStyle w:val="DisclaimerHeading"/>
              <w:keepLines/>
              <w:spacing w:before="40" w:after="40" w:line="220" w:lineRule="exact"/>
              <w:jc w:val="center"/>
              <w:rPr>
                <w:b w:val="0"/>
                <w:color w:val="auto"/>
                <w:sz w:val="18"/>
                <w:szCs w:val="18"/>
              </w:rPr>
            </w:pPr>
            <w:r>
              <w:rPr>
                <w:b w:val="0"/>
                <w:color w:val="auto"/>
                <w:sz w:val="18"/>
                <w:szCs w:val="18"/>
              </w:rPr>
              <w:t>February 27</w:t>
            </w:r>
            <w:r w:rsidRPr="00D5103D">
              <w:rPr>
                <w:b w:val="0"/>
                <w:color w:val="auto"/>
                <w:sz w:val="18"/>
                <w:szCs w:val="18"/>
                <w:vertAlign w:val="superscript"/>
              </w:rPr>
              <w:t>th</w:t>
            </w:r>
            <w:r>
              <w:rPr>
                <w:b w:val="0"/>
                <w:color w:val="auto"/>
                <w:sz w:val="18"/>
                <w:szCs w:val="18"/>
              </w:rPr>
              <w:t>, 2025</w:t>
            </w:r>
          </w:p>
        </w:tc>
        <w:tc>
          <w:tcPr>
            <w:tcW w:w="1529" w:type="dxa"/>
            <w:tcBorders>
              <w:left w:val="single" w:sz="4" w:space="0" w:color="auto"/>
              <w:bottom w:val="single" w:sz="4" w:space="0" w:color="auto"/>
              <w:right w:val="single" w:sz="4" w:space="0" w:color="auto"/>
            </w:tcBorders>
          </w:tcPr>
          <w:p w:rsidR="007A3AA4" w:rsidRPr="00C10A93" w:rsidP="007F7619">
            <w:pPr>
              <w:pStyle w:val="DisclaimerHeading"/>
              <w:keepLines/>
              <w:spacing w:before="40" w:after="40" w:line="220" w:lineRule="exact"/>
              <w:jc w:val="center"/>
              <w:rPr>
                <w:b w:val="0"/>
                <w:color w:val="auto"/>
                <w:sz w:val="18"/>
                <w:szCs w:val="18"/>
              </w:rPr>
            </w:pPr>
            <w:r>
              <w:rPr>
                <w:b w:val="0"/>
                <w:color w:val="auto"/>
                <w:sz w:val="18"/>
                <w:szCs w:val="18"/>
              </w:rPr>
              <w:t>March 4</w:t>
            </w:r>
            <w:r w:rsidRPr="007F7619">
              <w:rPr>
                <w:b w:val="0"/>
                <w:color w:val="auto"/>
                <w:sz w:val="18"/>
                <w:szCs w:val="18"/>
                <w:vertAlign w:val="superscript"/>
              </w:rPr>
              <w:t>th</w:t>
            </w:r>
            <w:r>
              <w:rPr>
                <w:b w:val="0"/>
                <w:color w:val="auto"/>
                <w:sz w:val="18"/>
                <w:szCs w:val="18"/>
              </w:rPr>
              <w:t>, 2025</w:t>
            </w:r>
          </w:p>
        </w:tc>
      </w:tr>
      <w:tr w:rsidTr="00D5103D">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7A3AA4" w:rsidRPr="00BB6921" w:rsidP="007A3AA4">
            <w:pPr>
              <w:pStyle w:val="DisclaimerHeading"/>
              <w:keepLines/>
              <w:spacing w:before="40" w:after="40" w:line="220" w:lineRule="exact"/>
              <w:jc w:val="left"/>
              <w:rPr>
                <w:b w:val="0"/>
                <w:i w:val="0"/>
                <w:color w:val="auto"/>
                <w:sz w:val="18"/>
                <w:szCs w:val="18"/>
              </w:rPr>
            </w:pPr>
            <w:r>
              <w:rPr>
                <w:b w:val="0"/>
                <w:i w:val="0"/>
                <w:color w:val="auto"/>
                <w:sz w:val="18"/>
                <w:szCs w:val="18"/>
              </w:rPr>
              <w:t>April 11</w:t>
            </w:r>
            <w:r w:rsidRPr="00D5103D">
              <w:rPr>
                <w:b w:val="0"/>
                <w:i w:val="0"/>
                <w:color w:val="auto"/>
                <w:sz w:val="18"/>
                <w:szCs w:val="18"/>
                <w:vertAlign w:val="superscript"/>
              </w:rPr>
              <w:t>th</w:t>
            </w:r>
            <w:r>
              <w:rPr>
                <w:b w:val="0"/>
                <w:i w:val="0"/>
                <w:color w:val="auto"/>
                <w:sz w:val="18"/>
                <w:szCs w:val="18"/>
              </w:rPr>
              <w:t xml:space="preserve">, 2025 </w:t>
            </w:r>
          </w:p>
        </w:tc>
        <w:tc>
          <w:tcPr>
            <w:tcW w:w="1800" w:type="dxa"/>
            <w:tcBorders>
              <w:top w:val="single" w:sz="4" w:space="0" w:color="auto"/>
              <w:left w:val="single" w:sz="4" w:space="0" w:color="auto"/>
              <w:bottom w:val="single" w:sz="4" w:space="0" w:color="auto"/>
              <w:right w:val="single" w:sz="4" w:space="0" w:color="auto"/>
            </w:tcBorders>
          </w:tcPr>
          <w:p w:rsidR="007A3AA4" w:rsidRPr="00C10A93" w:rsidP="007A3AA4">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7A3AA4" w:rsidRPr="00C10A93" w:rsidP="007A3AA4">
            <w:pPr>
              <w:pStyle w:val="AttendeesList"/>
              <w:keepLines/>
              <w:spacing w:before="40" w:after="40" w:line="220" w:lineRule="exact"/>
              <w:jc w:val="center"/>
              <w:rPr>
                <w:szCs w:val="18"/>
              </w:rPr>
            </w:pPr>
            <w:r>
              <w:rPr>
                <w:szCs w:val="18"/>
              </w:rPr>
              <w:t>Teleconference</w:t>
            </w:r>
          </w:p>
        </w:tc>
        <w:tc>
          <w:tcPr>
            <w:tcW w:w="1816" w:type="dxa"/>
            <w:tcBorders>
              <w:top w:val="single" w:sz="4" w:space="0" w:color="auto"/>
              <w:left w:val="single" w:sz="4" w:space="0" w:color="auto"/>
              <w:bottom w:val="single" w:sz="4" w:space="0" w:color="auto"/>
              <w:right w:val="single" w:sz="4" w:space="0" w:color="auto"/>
            </w:tcBorders>
          </w:tcPr>
          <w:p w:rsidR="007A3AA4" w:rsidRPr="00C10A93" w:rsidP="007A3AA4">
            <w:pPr>
              <w:pStyle w:val="DisclaimerHeading"/>
              <w:keepLines/>
              <w:spacing w:before="40" w:after="40" w:line="220" w:lineRule="exact"/>
              <w:jc w:val="center"/>
              <w:rPr>
                <w:b w:val="0"/>
                <w:color w:val="auto"/>
                <w:sz w:val="18"/>
                <w:szCs w:val="18"/>
              </w:rPr>
            </w:pPr>
            <w:r>
              <w:rPr>
                <w:b w:val="0"/>
                <w:color w:val="auto"/>
                <w:sz w:val="18"/>
                <w:szCs w:val="18"/>
              </w:rPr>
              <w:t>March 26</w:t>
            </w:r>
            <w:r w:rsidRPr="00D5103D">
              <w:rPr>
                <w:b w:val="0"/>
                <w:color w:val="auto"/>
                <w:sz w:val="18"/>
                <w:szCs w:val="18"/>
                <w:vertAlign w:val="superscript"/>
              </w:rPr>
              <w:t>th</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A3AA4" w:rsidRPr="00C10A93" w:rsidP="007A3AA4">
            <w:pPr>
              <w:pStyle w:val="DisclaimerHeading"/>
              <w:keepLines/>
              <w:spacing w:before="40" w:after="40" w:line="220" w:lineRule="exact"/>
              <w:jc w:val="center"/>
              <w:rPr>
                <w:b w:val="0"/>
                <w:color w:val="auto"/>
                <w:sz w:val="18"/>
                <w:szCs w:val="18"/>
              </w:rPr>
            </w:pPr>
            <w:r>
              <w:rPr>
                <w:b w:val="0"/>
                <w:color w:val="auto"/>
                <w:sz w:val="18"/>
                <w:szCs w:val="18"/>
              </w:rPr>
              <w:t>March 31</w:t>
            </w:r>
            <w:r w:rsidRPr="0056775C">
              <w:rPr>
                <w:b w:val="0"/>
                <w:color w:val="auto"/>
                <w:sz w:val="18"/>
                <w:szCs w:val="18"/>
                <w:vertAlign w:val="superscript"/>
              </w:rPr>
              <w:t>st</w:t>
            </w:r>
            <w:r>
              <w:rPr>
                <w:b w:val="0"/>
                <w:color w:val="auto"/>
                <w:sz w:val="18"/>
                <w:szCs w:val="18"/>
              </w:rPr>
              <w:t>, 2025</w:t>
            </w:r>
          </w:p>
        </w:tc>
      </w:tr>
      <w:tr w:rsidTr="00D5103D">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D5103D" w:rsidRPr="00BB6921" w:rsidP="007A3AA4">
            <w:pPr>
              <w:pStyle w:val="DisclaimerHeading"/>
              <w:keepLines/>
              <w:spacing w:before="40" w:after="40" w:line="220" w:lineRule="exact"/>
              <w:jc w:val="left"/>
              <w:rPr>
                <w:b w:val="0"/>
                <w:i w:val="0"/>
                <w:color w:val="auto"/>
                <w:sz w:val="18"/>
                <w:szCs w:val="18"/>
              </w:rPr>
            </w:pPr>
            <w:r>
              <w:rPr>
                <w:b w:val="0"/>
                <w:i w:val="0"/>
                <w:color w:val="auto"/>
                <w:sz w:val="18"/>
                <w:szCs w:val="18"/>
              </w:rPr>
              <w:t>May</w:t>
            </w:r>
            <w:r>
              <w:rPr>
                <w:b w:val="0"/>
                <w:i w:val="0"/>
                <w:color w:val="auto"/>
                <w:sz w:val="18"/>
                <w:szCs w:val="18"/>
              </w:rPr>
              <w:t xml:space="preserve"> 1</w:t>
            </w:r>
            <w:r>
              <w:rPr>
                <w:b w:val="0"/>
                <w:i w:val="0"/>
                <w:color w:val="auto"/>
                <w:sz w:val="18"/>
                <w:szCs w:val="18"/>
              </w:rPr>
              <w:t>6</w:t>
            </w:r>
            <w:r w:rsidRPr="00D5103D">
              <w:rPr>
                <w:b w:val="0"/>
                <w:i w:val="0"/>
                <w:color w:val="auto"/>
                <w:sz w:val="18"/>
                <w:szCs w:val="18"/>
                <w:vertAlign w:val="superscript"/>
              </w:rPr>
              <w:t>th</w:t>
            </w:r>
            <w:r>
              <w:rPr>
                <w:b w:val="0"/>
                <w:i w:val="0"/>
                <w:color w:val="auto"/>
                <w:sz w:val="18"/>
                <w:szCs w:val="18"/>
              </w:rPr>
              <w:t xml:space="preserve">, 2025 </w:t>
            </w:r>
          </w:p>
        </w:tc>
        <w:tc>
          <w:tcPr>
            <w:tcW w:w="1800" w:type="dxa"/>
            <w:tcBorders>
              <w:top w:val="single" w:sz="4" w:space="0" w:color="auto"/>
              <w:left w:val="single" w:sz="4" w:space="0" w:color="auto"/>
              <w:bottom w:val="single" w:sz="4" w:space="0" w:color="auto"/>
              <w:right w:val="single" w:sz="4" w:space="0" w:color="auto"/>
            </w:tcBorders>
          </w:tcPr>
          <w:p w:rsidR="00D5103D" w:rsidRPr="00C10A93" w:rsidP="00D5103D">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D5103D" w:rsidRPr="00C10A93" w:rsidP="00D5103D">
            <w:pPr>
              <w:pStyle w:val="AttendeesList"/>
              <w:keepLines/>
              <w:spacing w:before="40" w:after="40" w:line="220" w:lineRule="exact"/>
              <w:jc w:val="center"/>
              <w:rPr>
                <w:szCs w:val="18"/>
              </w:rPr>
            </w:pPr>
            <w:r>
              <w:rPr>
                <w:szCs w:val="18"/>
              </w:rPr>
              <w:t>Teleconference</w:t>
            </w:r>
          </w:p>
        </w:tc>
        <w:tc>
          <w:tcPr>
            <w:tcW w:w="1816" w:type="dxa"/>
            <w:tcBorders>
              <w:top w:val="single" w:sz="4" w:space="0" w:color="auto"/>
              <w:left w:val="single" w:sz="4" w:space="0" w:color="auto"/>
              <w:bottom w:val="single" w:sz="4" w:space="0" w:color="auto"/>
              <w:right w:val="single" w:sz="4" w:space="0" w:color="auto"/>
            </w:tcBorders>
          </w:tcPr>
          <w:p w:rsidR="00D5103D" w:rsidRPr="00C10A93" w:rsidP="007A3AA4">
            <w:pPr>
              <w:pStyle w:val="DisclaimerHeading"/>
              <w:keepLines/>
              <w:spacing w:before="40" w:after="40" w:line="220" w:lineRule="exact"/>
              <w:jc w:val="center"/>
              <w:rPr>
                <w:b w:val="0"/>
                <w:color w:val="auto"/>
                <w:sz w:val="18"/>
                <w:szCs w:val="18"/>
              </w:rPr>
            </w:pPr>
            <w:r>
              <w:rPr>
                <w:b w:val="0"/>
                <w:color w:val="auto"/>
                <w:sz w:val="18"/>
                <w:szCs w:val="18"/>
              </w:rPr>
              <w:t>May 1</w:t>
            </w:r>
            <w:r>
              <w:rPr>
                <w:b w:val="0"/>
                <w:color w:val="auto"/>
                <w:sz w:val="18"/>
                <w:szCs w:val="18"/>
                <w:vertAlign w:val="superscript"/>
              </w:rPr>
              <w:t>st</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D5103D" w:rsidRPr="00C10A93" w:rsidP="007A3AA4">
            <w:pPr>
              <w:pStyle w:val="DisclaimerHeading"/>
              <w:keepLines/>
              <w:spacing w:before="40" w:after="40" w:line="220" w:lineRule="exact"/>
              <w:jc w:val="center"/>
              <w:rPr>
                <w:b w:val="0"/>
                <w:color w:val="auto"/>
                <w:sz w:val="18"/>
                <w:szCs w:val="18"/>
              </w:rPr>
            </w:pPr>
            <w:r>
              <w:rPr>
                <w:b w:val="0"/>
                <w:color w:val="auto"/>
                <w:sz w:val="18"/>
                <w:szCs w:val="18"/>
              </w:rPr>
              <w:t>M</w:t>
            </w:r>
            <w:r w:rsidR="007A3AA4">
              <w:rPr>
                <w:b w:val="0"/>
                <w:color w:val="auto"/>
                <w:sz w:val="18"/>
                <w:szCs w:val="18"/>
              </w:rPr>
              <w:t>ay 6</w:t>
            </w:r>
            <w:r w:rsidRPr="007A3AA4" w:rsidR="007A3AA4">
              <w:rPr>
                <w:b w:val="0"/>
                <w:color w:val="auto"/>
                <w:sz w:val="18"/>
                <w:szCs w:val="18"/>
                <w:vertAlign w:val="superscript"/>
              </w:rPr>
              <w:t>th</w:t>
            </w:r>
            <w:r>
              <w:rPr>
                <w:b w:val="0"/>
                <w:color w:val="auto"/>
                <w:sz w:val="18"/>
                <w:szCs w:val="18"/>
              </w:rPr>
              <w:t>, 2025</w:t>
            </w:r>
          </w:p>
        </w:tc>
      </w:tr>
    </w:tbl>
    <w:p w:rsidR="003C3320" w:rsidP="00CE451E">
      <w:pPr>
        <w:pStyle w:val="DisclaimerBodyCopy"/>
        <w:keepLines/>
        <w:spacing w:before="60"/>
        <w:jc w:val="right"/>
        <w:rPr>
          <w:color w:val="1F497D"/>
        </w:rPr>
      </w:pPr>
      <w:r>
        <w:rPr>
          <w:color w:val="1F497D"/>
        </w:rPr>
        <w:t>*Materials received after 12:00 p.m. EPT are not guaranteed timely posting by 5:00 p.m. EPT on the same day.</w:t>
      </w:r>
    </w:p>
    <w:p w:rsidR="007A564A" w:rsidP="007A564A">
      <w:pPr>
        <w:pStyle w:val="DisclaimerBodyCopy"/>
        <w:keepLines/>
        <w:spacing w:before="60"/>
        <w:jc w:val="center"/>
      </w:pPr>
    </w:p>
    <w:p w:rsidR="00CE451E" w:rsidP="00337321">
      <w:pPr>
        <w:pStyle w:val="Autho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F5238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D5103D" w:rsidRPr="0095194C" w:rsidP="00F52385">
            <w:pPr>
              <w:pStyle w:val="PrimaryHeading"/>
              <w:spacing w:after="0"/>
              <w:rPr>
                <w:b/>
              </w:rPr>
            </w:pPr>
            <w:r>
              <w:rPr>
                <w:b/>
              </w:rPr>
              <w:t xml:space="preserve">Antitrust, Code of Conduct and WebEx Instructions </w:t>
            </w:r>
          </w:p>
        </w:tc>
      </w:tr>
    </w:tbl>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P="009C15C4"/>
    <w:p w:rsidR="00D5103D"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6076">
      <w:rPr>
        <w:rStyle w:val="PageNumber"/>
        <w:noProof/>
      </w:rPr>
      <w:t>2</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2C005B8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76"/>
    <w:rsid w:val="00010057"/>
    <w:rsid w:val="000232DF"/>
    <w:rsid w:val="00027F49"/>
    <w:rsid w:val="000333FF"/>
    <w:rsid w:val="000538D7"/>
    <w:rsid w:val="0006798D"/>
    <w:rsid w:val="00092135"/>
    <w:rsid w:val="00096230"/>
    <w:rsid w:val="000C45C1"/>
    <w:rsid w:val="00117AF9"/>
    <w:rsid w:val="00121F58"/>
    <w:rsid w:val="001678E8"/>
    <w:rsid w:val="00170E02"/>
    <w:rsid w:val="001B2242"/>
    <w:rsid w:val="001C0CC0"/>
    <w:rsid w:val="001D3B68"/>
    <w:rsid w:val="001D4890"/>
    <w:rsid w:val="00200A1B"/>
    <w:rsid w:val="002113BD"/>
    <w:rsid w:val="0025139E"/>
    <w:rsid w:val="00260F75"/>
    <w:rsid w:val="002B2CB6"/>
    <w:rsid w:val="002B2F98"/>
    <w:rsid w:val="002C6057"/>
    <w:rsid w:val="002F6131"/>
    <w:rsid w:val="00305238"/>
    <w:rsid w:val="003251CE"/>
    <w:rsid w:val="0032532C"/>
    <w:rsid w:val="00337321"/>
    <w:rsid w:val="00353B2E"/>
    <w:rsid w:val="00394850"/>
    <w:rsid w:val="003B55E1"/>
    <w:rsid w:val="003C17E2"/>
    <w:rsid w:val="003C3320"/>
    <w:rsid w:val="003D7E5C"/>
    <w:rsid w:val="003E1CEF"/>
    <w:rsid w:val="003E7A73"/>
    <w:rsid w:val="003F046E"/>
    <w:rsid w:val="00432194"/>
    <w:rsid w:val="0046043F"/>
    <w:rsid w:val="00491490"/>
    <w:rsid w:val="00494494"/>
    <w:rsid w:val="004969FA"/>
    <w:rsid w:val="004F3D57"/>
    <w:rsid w:val="00527104"/>
    <w:rsid w:val="005569CD"/>
    <w:rsid w:val="00564DEE"/>
    <w:rsid w:val="0056775C"/>
    <w:rsid w:val="0057441E"/>
    <w:rsid w:val="00586076"/>
    <w:rsid w:val="005A5D0D"/>
    <w:rsid w:val="005D6D05"/>
    <w:rsid w:val="006024A0"/>
    <w:rsid w:val="00602967"/>
    <w:rsid w:val="00606F11"/>
    <w:rsid w:val="006C738F"/>
    <w:rsid w:val="006F7A52"/>
    <w:rsid w:val="00711249"/>
    <w:rsid w:val="00712CAA"/>
    <w:rsid w:val="00716A8B"/>
    <w:rsid w:val="00724AEF"/>
    <w:rsid w:val="00730F76"/>
    <w:rsid w:val="00744A45"/>
    <w:rsid w:val="0075340F"/>
    <w:rsid w:val="00754C6D"/>
    <w:rsid w:val="00755096"/>
    <w:rsid w:val="007703B4"/>
    <w:rsid w:val="00777623"/>
    <w:rsid w:val="007A34A3"/>
    <w:rsid w:val="007A3AA4"/>
    <w:rsid w:val="007A564A"/>
    <w:rsid w:val="007C2954"/>
    <w:rsid w:val="007D4F70"/>
    <w:rsid w:val="007E7CAB"/>
    <w:rsid w:val="007F7619"/>
    <w:rsid w:val="00813B57"/>
    <w:rsid w:val="00837B12"/>
    <w:rsid w:val="00841282"/>
    <w:rsid w:val="008552A3"/>
    <w:rsid w:val="00882652"/>
    <w:rsid w:val="00911156"/>
    <w:rsid w:val="00914902"/>
    <w:rsid w:val="00917386"/>
    <w:rsid w:val="0095194C"/>
    <w:rsid w:val="00960F8C"/>
    <w:rsid w:val="0097702E"/>
    <w:rsid w:val="00991528"/>
    <w:rsid w:val="009A5430"/>
    <w:rsid w:val="009B2B7E"/>
    <w:rsid w:val="009C15C4"/>
    <w:rsid w:val="009C7250"/>
    <w:rsid w:val="009F53F9"/>
    <w:rsid w:val="00A05391"/>
    <w:rsid w:val="00A317A9"/>
    <w:rsid w:val="00A36FEA"/>
    <w:rsid w:val="00A41149"/>
    <w:rsid w:val="00A56D57"/>
    <w:rsid w:val="00A86205"/>
    <w:rsid w:val="00A931C3"/>
    <w:rsid w:val="00AC2247"/>
    <w:rsid w:val="00AF5B1A"/>
    <w:rsid w:val="00B16D95"/>
    <w:rsid w:val="00B20316"/>
    <w:rsid w:val="00B34E3C"/>
    <w:rsid w:val="00B42FAE"/>
    <w:rsid w:val="00B62597"/>
    <w:rsid w:val="00BA6146"/>
    <w:rsid w:val="00BB531B"/>
    <w:rsid w:val="00BB6921"/>
    <w:rsid w:val="00BF331B"/>
    <w:rsid w:val="00C10A93"/>
    <w:rsid w:val="00C32068"/>
    <w:rsid w:val="00C439EC"/>
    <w:rsid w:val="00C5307B"/>
    <w:rsid w:val="00C72168"/>
    <w:rsid w:val="00C757F4"/>
    <w:rsid w:val="00C75A9D"/>
    <w:rsid w:val="00C814F0"/>
    <w:rsid w:val="00CA49B9"/>
    <w:rsid w:val="00CB19DE"/>
    <w:rsid w:val="00CB475B"/>
    <w:rsid w:val="00CC1B47"/>
    <w:rsid w:val="00CE451E"/>
    <w:rsid w:val="00D06EC8"/>
    <w:rsid w:val="00D136EA"/>
    <w:rsid w:val="00D22FE4"/>
    <w:rsid w:val="00D251ED"/>
    <w:rsid w:val="00D5103D"/>
    <w:rsid w:val="00D66690"/>
    <w:rsid w:val="00D70799"/>
    <w:rsid w:val="00D827A6"/>
    <w:rsid w:val="00D831E4"/>
    <w:rsid w:val="00D95949"/>
    <w:rsid w:val="00DA23DE"/>
    <w:rsid w:val="00DB29E9"/>
    <w:rsid w:val="00DB66DC"/>
    <w:rsid w:val="00DE34CF"/>
    <w:rsid w:val="00DE77B9"/>
    <w:rsid w:val="00DF1112"/>
    <w:rsid w:val="00E1605D"/>
    <w:rsid w:val="00E32B6B"/>
    <w:rsid w:val="00E5387A"/>
    <w:rsid w:val="00E55E84"/>
    <w:rsid w:val="00E946F8"/>
    <w:rsid w:val="00EB68B0"/>
    <w:rsid w:val="00F1598C"/>
    <w:rsid w:val="00F4190F"/>
    <w:rsid w:val="00F5077C"/>
    <w:rsid w:val="00F52385"/>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9D7465B-9780-4EE3-AA13-CDB68A27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apaca\Downloads\Agenda.doc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