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79B3302F">
      <w:pPr>
        <w:pStyle w:val="MeetingDetails"/>
      </w:pPr>
      <w:r>
        <w:t>January 7, 2025</w:t>
      </w:r>
    </w:p>
    <w:p w:rsidR="00721E6E" w:rsidP="00721E6E" w14:paraId="5EAB223C" w14:textId="1E4C7EAC">
      <w:pPr>
        <w:pStyle w:val="MeetingDetails"/>
      </w:pPr>
      <w:r>
        <w:t>1</w:t>
      </w:r>
      <w:r w:rsidR="00D268BA">
        <w:t>1</w:t>
      </w:r>
      <w:r w:rsidR="003F3BF0">
        <w:t>:</w:t>
      </w:r>
      <w:r>
        <w:t>15</w:t>
      </w:r>
      <w:r w:rsidR="000C6AD4">
        <w:t xml:space="preserve"> </w:t>
      </w:r>
      <w:r>
        <w:t>a</w:t>
      </w:r>
      <w:r w:rsidR="000C6AD4">
        <w:t>.m. – 3</w:t>
      </w:r>
      <w:r>
        <w:t xml:space="preserve">:00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77777777">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45319F" w:rsidRPr="0045319F" w:rsidP="001E50B1" w14:paraId="11B0D4CF" w14:textId="769CB383">
      <w:pPr>
        <w:pStyle w:val="ListSubhead1"/>
        <w:numPr>
          <w:ilvl w:val="0"/>
          <w:numId w:val="14"/>
        </w:numPr>
        <w:spacing w:after="120"/>
      </w:pPr>
      <w:r w:rsidRPr="0045319F">
        <w:t xml:space="preserve">State Policy Assumptions </w:t>
      </w:r>
      <w:r>
        <w:t>Presentation</w:t>
      </w:r>
    </w:p>
    <w:p w:rsidR="0045319F" w:rsidRPr="0045319F" w:rsidP="0045319F" w14:paraId="0CEA69AA" w14:textId="0E12750E">
      <w:pPr>
        <w:pStyle w:val="ListSubhead1"/>
        <w:numPr>
          <w:ilvl w:val="0"/>
          <w:numId w:val="0"/>
        </w:numPr>
        <w:spacing w:after="120"/>
        <w:ind w:left="360"/>
        <w:rPr>
          <w:b w:val="0"/>
        </w:rPr>
      </w:pPr>
      <w:r w:rsidRPr="0045319F">
        <w:rPr>
          <w:b w:val="0"/>
        </w:rPr>
        <w:t xml:space="preserve">Ben </w:t>
      </w:r>
      <w:r>
        <w:rPr>
          <w:b w:val="0"/>
        </w:rPr>
        <w:t xml:space="preserve">Sloan </w:t>
      </w:r>
      <w:r w:rsidRPr="0045319F">
        <w:rPr>
          <w:b w:val="0"/>
        </w:rPr>
        <w:t xml:space="preserve">will present on behalf of the Independent State Agencies Committee (ISAC) the state policies that </w:t>
      </w:r>
      <w:r w:rsidRPr="0045319F">
        <w:rPr>
          <w:b w:val="0"/>
        </w:rPr>
        <w:t>are being submitted</w:t>
      </w:r>
      <w:r w:rsidRPr="0045319F">
        <w:rPr>
          <w:b w:val="0"/>
        </w:rPr>
        <w:t xml:space="preserve"> for consideration in the 2025 RTEP.</w:t>
      </w:r>
      <w:bookmarkStart w:id="2" w:name="_GoBack"/>
      <w:bookmarkEnd w:id="2"/>
    </w:p>
    <w:p w:rsidR="001E50B1" w:rsidRPr="00B47C80" w:rsidP="001E50B1" w14:paraId="63B2F956" w14:textId="16ECB38D">
      <w:pPr>
        <w:pStyle w:val="ListSubhead1"/>
        <w:numPr>
          <w:ilvl w:val="0"/>
          <w:numId w:val="14"/>
        </w:numPr>
        <w:spacing w:after="120"/>
        <w:rPr>
          <w:b w:val="0"/>
        </w:rPr>
      </w:pPr>
      <w:r>
        <w:t>Interregional Planning Update</w:t>
      </w:r>
    </w:p>
    <w:p w:rsidR="001E50B1" w:rsidRPr="001E50B1" w:rsidP="001E50B1" w14:paraId="641441D0" w14:textId="77777777">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14:paraId="4C097559" w14:textId="77777777">
      <w:pPr>
        <w:pStyle w:val="ListSubhead1"/>
        <w:numPr>
          <w:ilvl w:val="0"/>
          <w:numId w:val="14"/>
        </w:numPr>
        <w:spacing w:after="120"/>
        <w:rPr>
          <w:b w:val="0"/>
        </w:rPr>
      </w:pPr>
      <w:r>
        <w:t xml:space="preserve">Market Efficiency Update </w:t>
      </w:r>
    </w:p>
    <w:p w:rsidR="008F77D8" w:rsidP="008F77D8" w14:paraId="21E7C015" w14:textId="6BCAF0ED">
      <w:pPr>
        <w:pStyle w:val="SecondaryHeading-Numbered"/>
        <w:numPr>
          <w:ilvl w:val="0"/>
          <w:numId w:val="0"/>
        </w:numPr>
        <w:spacing w:after="120"/>
        <w:ind w:left="360"/>
        <w:rPr>
          <w:b w:val="0"/>
        </w:rPr>
      </w:pPr>
      <w:r>
        <w:rPr>
          <w:b w:val="0"/>
        </w:rPr>
        <w:t>Nicolae Dumitriu, PJM, will provide an update on Market Efficiency.</w:t>
      </w:r>
    </w:p>
    <w:p w:rsidR="004C6A2C" w:rsidRPr="00B7790E" w:rsidP="004C6A2C" w14:paraId="52C0BCEB" w14:textId="24CB9285">
      <w:pPr>
        <w:pStyle w:val="SecondaryHeading-Numbered"/>
        <w:spacing w:after="120"/>
        <w:rPr>
          <w:b w:val="0"/>
        </w:rPr>
      </w:pPr>
      <w:r>
        <w:t>APS</w:t>
      </w:r>
      <w:r>
        <w:t xml:space="preserve"> Supplemental Projects</w:t>
      </w:r>
    </w:p>
    <w:p w:rsidR="004C6A2C" w:rsidP="004C6A2C" w14:paraId="471C74AA" w14:textId="6EB8B4ED">
      <w:pPr>
        <w:pStyle w:val="SecondaryHeading-Numbered"/>
        <w:numPr>
          <w:ilvl w:val="0"/>
          <w:numId w:val="0"/>
        </w:numPr>
        <w:spacing w:after="120"/>
        <w:ind w:left="360"/>
        <w:rPr>
          <w:b w:val="0"/>
        </w:rPr>
      </w:pPr>
      <w:r>
        <w:rPr>
          <w:b w:val="0"/>
        </w:rPr>
        <w:t>FirstEnergy Planning will provide an update on supplemental projects.</w:t>
      </w:r>
    </w:p>
    <w:p w:rsidR="00D94535" w:rsidRPr="00B7790E" w:rsidP="00D94535" w14:paraId="24B776B0" w14:textId="29208A52">
      <w:pPr>
        <w:pStyle w:val="SecondaryHeading-Numbered"/>
        <w:spacing w:after="120"/>
        <w:rPr>
          <w:b w:val="0"/>
        </w:rPr>
      </w:pPr>
      <w:r>
        <w:t>JCPL Supplemental Projects</w:t>
      </w:r>
    </w:p>
    <w:p w:rsidR="00D94535" w:rsidP="00D94535" w14:paraId="2D5103EC" w14:textId="39459840">
      <w:pPr>
        <w:pStyle w:val="SecondaryHeading-Numbered"/>
        <w:numPr>
          <w:ilvl w:val="0"/>
          <w:numId w:val="0"/>
        </w:numPr>
        <w:spacing w:after="120"/>
        <w:ind w:left="360"/>
        <w:rPr>
          <w:b w:val="0"/>
        </w:rPr>
      </w:pPr>
      <w:r>
        <w:rPr>
          <w:b w:val="0"/>
        </w:rPr>
        <w:t>FirstEnergy Planning will provide an update on supplemental projects.</w:t>
      </w:r>
    </w:p>
    <w:p w:rsidR="00BD79E1" w:rsidRPr="00B7790E" w:rsidP="00BD79E1" w14:paraId="29B469D0" w14:textId="77777777">
      <w:pPr>
        <w:pStyle w:val="SecondaryHeading-Numbered"/>
        <w:spacing w:after="120"/>
        <w:rPr>
          <w:b w:val="0"/>
        </w:rPr>
      </w:pPr>
      <w:r>
        <w:t>PPL</w:t>
      </w:r>
      <w:r>
        <w:t xml:space="preserve"> Supplemental Projects</w:t>
      </w:r>
    </w:p>
    <w:p w:rsidR="00BD79E1" w:rsidP="00BD79E1" w14:paraId="094C120E" w14:textId="171E80CF">
      <w:pPr>
        <w:pStyle w:val="SecondaryHeading-Numbered"/>
        <w:numPr>
          <w:ilvl w:val="0"/>
          <w:numId w:val="0"/>
        </w:numPr>
        <w:spacing w:after="120"/>
        <w:ind w:left="360"/>
        <w:rPr>
          <w:b w:val="0"/>
        </w:rPr>
      </w:pPr>
      <w:r>
        <w:rPr>
          <w:b w:val="0"/>
        </w:rPr>
        <w:t>PPL</w:t>
      </w:r>
      <w:r>
        <w:rPr>
          <w:b w:val="0"/>
        </w:rPr>
        <w:t xml:space="preserve"> Planning will provide an update on supplemental projects.</w:t>
      </w:r>
    </w:p>
    <w:p w:rsidR="00D94535" w:rsidRPr="00B7790E" w:rsidP="00D94535" w14:paraId="510AC010" w14:textId="5D641B27">
      <w:pPr>
        <w:pStyle w:val="SecondaryHeading-Numbered"/>
        <w:spacing w:after="120"/>
        <w:rPr>
          <w:b w:val="0"/>
        </w:rPr>
      </w:pPr>
      <w:r>
        <w:t>PEPCO Supplemental Projects</w:t>
      </w:r>
    </w:p>
    <w:p w:rsidR="00D94535" w:rsidP="00D94535" w14:paraId="4CC84B31" w14:textId="734A03DA">
      <w:pPr>
        <w:pStyle w:val="SecondaryHeading-Numbered"/>
        <w:numPr>
          <w:ilvl w:val="0"/>
          <w:numId w:val="0"/>
        </w:numPr>
        <w:spacing w:after="120"/>
        <w:ind w:left="360"/>
        <w:rPr>
          <w:b w:val="0"/>
        </w:rPr>
      </w:pPr>
      <w:r>
        <w:rPr>
          <w:b w:val="0"/>
        </w:rPr>
        <w:t>Exelon Planning will provide an update on supplemental projects.</w:t>
      </w:r>
    </w:p>
    <w:p w:rsidR="00045256" w:rsidRPr="0075493D" w:rsidP="00045256" w14:paraId="264F0D8A" w14:textId="77777777">
      <w:pPr>
        <w:pStyle w:val="SecondaryHeading-Numbered"/>
        <w:spacing w:after="120"/>
        <w:rPr>
          <w:b w:val="0"/>
        </w:rPr>
      </w:pPr>
      <w:r>
        <w:t>DEOK</w:t>
      </w:r>
      <w:r w:rsidRPr="0075493D">
        <w:t xml:space="preserve"> Supplemental Projects</w:t>
      </w:r>
    </w:p>
    <w:p w:rsidR="00045256" w:rsidP="00045256" w14:paraId="41C720E7" w14:textId="77777777">
      <w:pPr>
        <w:pStyle w:val="SecondaryHeading-Numbered"/>
        <w:numPr>
          <w:ilvl w:val="0"/>
          <w:numId w:val="0"/>
        </w:numPr>
        <w:spacing w:after="120"/>
        <w:ind w:left="360"/>
        <w:rPr>
          <w:b w:val="0"/>
        </w:rPr>
      </w:pPr>
      <w:r>
        <w:rPr>
          <w:b w:val="0"/>
        </w:rPr>
        <w:t>Duke Energy</w:t>
      </w:r>
      <w:r w:rsidRPr="0075493D">
        <w:rPr>
          <w:b w:val="0"/>
        </w:rPr>
        <w:t xml:space="preserve"> Planning will provide an update on supplemental projects.</w:t>
      </w:r>
    </w:p>
    <w:p w:rsidR="004C6A2C" w:rsidRPr="0075493D" w:rsidP="004C6A2C" w14:paraId="7A1E9A75" w14:textId="77777777">
      <w:pPr>
        <w:pStyle w:val="SecondaryHeading-Numbered"/>
        <w:spacing w:after="120"/>
        <w:rPr>
          <w:b w:val="0"/>
        </w:rPr>
      </w:pPr>
      <w:r w:rsidRPr="0075493D">
        <w:t>Dominion Supplemental Projects</w:t>
      </w:r>
    </w:p>
    <w:p w:rsidR="00060902" w:rsidP="003D71C6" w14:paraId="03187517" w14:textId="77777777">
      <w:pPr>
        <w:pStyle w:val="SecondaryHeading-Numbered"/>
        <w:numPr>
          <w:ilvl w:val="0"/>
          <w:numId w:val="0"/>
        </w:numPr>
        <w:spacing w:after="120"/>
        <w:ind w:left="360"/>
        <w:rPr>
          <w:b w:val="0"/>
        </w:rPr>
      </w:pPr>
      <w:r w:rsidRPr="0075493D">
        <w:rPr>
          <w:b w:val="0"/>
        </w:rPr>
        <w:t>Dominion Planning will provide an update on supplemental projects.</w:t>
      </w:r>
    </w:p>
    <w:p w:rsidR="0045319F" w:rsidRPr="00B7790E" w:rsidP="0045319F" w14:paraId="34BA8F90" w14:textId="7527FDD5">
      <w:pPr>
        <w:pStyle w:val="SecondaryHeading-Numbered"/>
        <w:spacing w:after="120"/>
        <w:rPr>
          <w:b w:val="0"/>
        </w:rPr>
      </w:pPr>
      <w:r>
        <w:t>2025 RTEP Assumptions Presentation</w:t>
      </w:r>
    </w:p>
    <w:p w:rsidR="0045319F" w:rsidP="0045319F" w14:paraId="21D00960" w14:textId="06553757">
      <w:pPr>
        <w:pStyle w:val="SecondaryHeading-Numbered"/>
        <w:numPr>
          <w:ilvl w:val="0"/>
          <w:numId w:val="0"/>
        </w:numPr>
        <w:spacing w:after="120"/>
        <w:ind w:left="360"/>
        <w:rPr>
          <w:b w:val="0"/>
        </w:rPr>
      </w:pPr>
      <w:r>
        <w:rPr>
          <w:b w:val="0"/>
        </w:rPr>
        <w:t>PJM Transmissions Planning will provide an update on the 2025 RTEP Assumptions.</w:t>
      </w:r>
    </w:p>
    <w:p w:rsidR="00F01AF5" w:rsidRPr="0045319F" w:rsidP="0045319F" w14:paraId="0E38B2B1" w14:textId="77777777">
      <w:pPr>
        <w:pStyle w:val="SecondaryHeading-Numbered"/>
        <w:numPr>
          <w:ilvl w:val="0"/>
          <w:numId w:val="0"/>
        </w:numPr>
        <w:spacing w:after="120"/>
        <w:ind w:left="360"/>
        <w:rPr>
          <w:b w:val="0"/>
        </w:rPr>
      </w:pPr>
    </w:p>
    <w:p w:rsidR="007B32CA" w:rsidRPr="00B7790E" w:rsidP="007B32CA" w14:paraId="5C50AD20" w14:textId="0DAF86B8">
      <w:pPr>
        <w:pStyle w:val="SecondaryHeading-Numbered"/>
        <w:spacing w:after="120"/>
        <w:rPr>
          <w:b w:val="0"/>
        </w:rPr>
      </w:pPr>
      <w:r>
        <w:t>Reliability Analysis</w:t>
      </w:r>
      <w:r w:rsidR="003F3BF0">
        <w:t xml:space="preserve"> Update </w:t>
      </w:r>
    </w:p>
    <w:p w:rsidR="003F3BF0" w:rsidP="000819FE" w14:paraId="1E0E8031" w14:textId="7777777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14:paraId="3E62F696" w14:textId="77777777">
      <w:pPr>
        <w:pStyle w:val="ListSubhead1"/>
        <w:widowControl w:val="0"/>
        <w:numPr>
          <w:ilvl w:val="0"/>
          <w:numId w:val="13"/>
        </w:numPr>
        <w:spacing w:after="120"/>
      </w:pPr>
      <w:r>
        <w:t>Informational Only – Aggregate Maps for Supplemental Projects</w:t>
      </w:r>
    </w:p>
    <w:p w:rsidR="0051183A" w:rsidP="0051183A" w14:paraId="759AB64D" w14:textId="77777777">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14:paraId="4B5091B2" w14:textId="77777777">
      <w:pPr>
        <w:pStyle w:val="ListSubhead1"/>
        <w:widowControl w:val="0"/>
        <w:numPr>
          <w:ilvl w:val="0"/>
          <w:numId w:val="13"/>
        </w:numPr>
        <w:spacing w:after="120"/>
      </w:pPr>
      <w:r>
        <w:t>Informational Only – Planning Community Open Questions</w:t>
      </w:r>
    </w:p>
    <w:p w:rsidR="007E314D" w:rsidP="00842838" w14:paraId="6CF23EE4" w14:textId="77777777">
      <w:pPr>
        <w:pStyle w:val="ListSubhead1"/>
        <w:widowControl w:val="0"/>
        <w:numPr>
          <w:ilvl w:val="0"/>
          <w:numId w:val="0"/>
        </w:numPr>
        <w:spacing w:after="120"/>
        <w:ind w:left="720" w:hanging="360"/>
        <w:rPr>
          <w:b w:val="0"/>
        </w:rPr>
      </w:pPr>
      <w:r>
        <w:rPr>
          <w:b w:val="0"/>
        </w:rPr>
        <w:t>Open questions regarding M-3 projects received through Planning Community.</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810"/>
        <w:gridCol w:w="2160"/>
        <w:gridCol w:w="2070"/>
        <w:gridCol w:w="2199"/>
      </w:tblGrid>
      <w:tr w14:paraId="59EAEAA1" w14:textId="77777777" w:rsidTr="001E0D2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0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207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219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1E0D27">
        <w:tblPrEx>
          <w:tblW w:w="0" w:type="auto"/>
          <w:tblLook w:val="04A0"/>
        </w:tblPrEx>
        <w:trPr>
          <w:trHeight w:val="296"/>
        </w:trPr>
        <w:tc>
          <w:tcPr>
            <w:tcW w:w="2070" w:type="dxa"/>
            <w:vMerge w:val="restart"/>
            <w:tcBorders>
              <w:top w:val="single" w:sz="4" w:space="0" w:color="auto"/>
              <w:left w:val="single" w:sz="4" w:space="0" w:color="B2B2B2" w:themeColor="accent5" w:themeTint="99"/>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8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21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207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219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1E0D27">
        <w:tblPrEx>
          <w:tblW w:w="0" w:type="auto"/>
          <w:tblLook w:val="04A0"/>
        </w:tblPrEx>
        <w:trPr>
          <w:trHeight w:val="331"/>
        </w:trPr>
        <w:tc>
          <w:tcPr>
            <w:tcW w:w="2070" w:type="dxa"/>
            <w:vMerge/>
            <w:tcBorders>
              <w:top w:val="single" w:sz="12" w:space="0" w:color="013366" w:themeColor="accent1"/>
              <w:left w:val="single" w:sz="4" w:space="0" w:color="B2B2B2" w:themeColor="accent5" w:themeTint="99"/>
              <w:bottom w:val="single" w:sz="4" w:space="0" w:color="B2B2B2" w:themeColor="accent5" w:themeTint="99"/>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810" w:type="dxa"/>
            <w:vMerge/>
            <w:tcBorders>
              <w:top w:val="single" w:sz="12" w:space="0" w:color="013366" w:themeColor="accent1"/>
              <w:left w:val="single" w:sz="6" w:space="0" w:color="FFFFFF" w:themeColor="background1"/>
              <w:bottom w:val="single" w:sz="4" w:space="0" w:color="B2B2B2" w:themeColor="accent5" w:themeTint="99"/>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2160" w:type="dxa"/>
            <w:vMerge/>
            <w:tcBorders>
              <w:top w:val="single" w:sz="12" w:space="0" w:color="013366" w:themeColor="accent1"/>
              <w:left w:val="single" w:sz="6" w:space="0" w:color="FFFFFF" w:themeColor="background1"/>
              <w:bottom w:val="single" w:sz="4" w:space="0" w:color="B2B2B2" w:themeColor="accent5" w:themeTint="99"/>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4269" w:type="dxa"/>
            <w:gridSpan w:val="2"/>
            <w:tcBorders>
              <w:top w:val="single" w:sz="6" w:space="0" w:color="FFFFFF" w:themeColor="background1"/>
              <w:left w:val="single" w:sz="4" w:space="0" w:color="auto"/>
              <w:bottom w:val="single" w:sz="4" w:space="0" w:color="B2B2B2" w:themeColor="accent5" w:themeTint="99"/>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92CCAB9" w14:textId="77777777" w:rsidTr="001E0D27">
        <w:tblPrEx>
          <w:tblW w:w="0" w:type="auto"/>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Look w:val="04A0"/>
        </w:tblPrEx>
        <w:trPr>
          <w:trHeight w:val="555"/>
        </w:trPr>
        <w:tc>
          <w:tcPr>
            <w:tcW w:w="2070" w:type="dxa"/>
            <w:tcBorders>
              <w:top w:val="single" w:sz="4" w:space="0" w:color="B2B2B2" w:themeColor="accent5" w:themeTint="99"/>
              <w:left w:val="single" w:sz="4" w:space="0" w:color="B2B2B2" w:themeColor="accent5" w:themeTint="99"/>
              <w:bottom w:val="single" w:sz="4" w:space="0" w:color="B2B2B2" w:themeColor="accent5" w:themeTint="99"/>
            </w:tcBorders>
            <w:shd w:val="clear" w:color="auto" w:fill="E1F6FF"/>
            <w:hideMark/>
          </w:tcPr>
          <w:p w:rsidR="001E0D27" w:rsidRPr="001E0D27" w:rsidP="001E0D27" w14:paraId="03EB776E" w14:textId="77777777">
            <w:pPr>
              <w:pStyle w:val="DisclaimerHeading"/>
              <w:keepLines/>
              <w:spacing w:before="40" w:after="40" w:line="220" w:lineRule="exact"/>
              <w:rPr>
                <w:b w:val="0"/>
                <w:i w:val="0"/>
                <w:color w:val="auto"/>
                <w:sz w:val="18"/>
                <w:szCs w:val="18"/>
              </w:rPr>
            </w:pPr>
            <w:r w:rsidRPr="001E0D27">
              <w:rPr>
                <w:b w:val="0"/>
                <w:i w:val="0"/>
                <w:color w:val="auto"/>
                <w:sz w:val="18"/>
                <w:szCs w:val="18"/>
              </w:rPr>
              <w:t>Tuesday, February 4, 2025</w:t>
            </w:r>
          </w:p>
        </w:tc>
        <w:tc>
          <w:tcPr>
            <w:tcW w:w="810" w:type="dxa"/>
            <w:tcBorders>
              <w:top w:val="single" w:sz="4" w:space="0" w:color="B2B2B2" w:themeColor="accent5" w:themeTint="99"/>
            </w:tcBorders>
            <w:hideMark/>
          </w:tcPr>
          <w:p w:rsidR="001E0D27" w:rsidRPr="001E0D27" w:rsidP="001E0D27" w14:paraId="7B5167F6" w14:textId="77777777">
            <w:pPr>
              <w:pStyle w:val="DisclaimerHeading"/>
              <w:keepLines/>
              <w:spacing w:before="40" w:after="40" w:line="220" w:lineRule="exact"/>
              <w:rPr>
                <w:b w:val="0"/>
                <w:color w:val="auto"/>
                <w:szCs w:val="18"/>
              </w:rPr>
            </w:pPr>
            <w:r w:rsidRPr="001E0D27">
              <w:rPr>
                <w:b w:val="0"/>
                <w:color w:val="auto"/>
                <w:szCs w:val="18"/>
              </w:rPr>
              <w:t>1:00pm – 3:00pm</w:t>
            </w:r>
          </w:p>
        </w:tc>
        <w:tc>
          <w:tcPr>
            <w:tcW w:w="2160" w:type="dxa"/>
            <w:tcBorders>
              <w:top w:val="single" w:sz="4" w:space="0" w:color="B2B2B2" w:themeColor="accent5" w:themeTint="99"/>
            </w:tcBorders>
            <w:hideMark/>
          </w:tcPr>
          <w:p w:rsidR="001E0D27" w:rsidRPr="001E0D27" w:rsidP="001E0D27" w14:paraId="7D0E40A0" w14:textId="77777777">
            <w:pPr>
              <w:pStyle w:val="AttendeesList"/>
              <w:keepLines/>
              <w:spacing w:before="40" w:after="40" w:line="220" w:lineRule="exact"/>
              <w:rPr>
                <w:i/>
                <w:szCs w:val="18"/>
              </w:rPr>
            </w:pPr>
            <w:r w:rsidRPr="001E0D27">
              <w:rPr>
                <w:i/>
                <w:szCs w:val="18"/>
              </w:rPr>
              <w:t>WebEx / Conference &amp; Training Center</w:t>
            </w:r>
          </w:p>
        </w:tc>
        <w:tc>
          <w:tcPr>
            <w:tcW w:w="2070" w:type="dxa"/>
            <w:tcBorders>
              <w:top w:val="single" w:sz="4" w:space="0" w:color="B2B2B2" w:themeColor="accent5" w:themeTint="99"/>
            </w:tcBorders>
            <w:hideMark/>
          </w:tcPr>
          <w:p w:rsidR="001E0D27" w:rsidRPr="001E0D27" w:rsidP="001E0D27" w14:paraId="26D2287F" w14:textId="77777777">
            <w:pPr>
              <w:pStyle w:val="DisclaimerHeading"/>
              <w:keepLines/>
              <w:spacing w:before="40" w:after="40" w:line="220" w:lineRule="exact"/>
              <w:jc w:val="center"/>
              <w:rPr>
                <w:b w:val="0"/>
                <w:color w:val="auto"/>
                <w:sz w:val="18"/>
                <w:szCs w:val="18"/>
              </w:rPr>
            </w:pPr>
            <w:r w:rsidRPr="001E0D27">
              <w:rPr>
                <w:b w:val="0"/>
                <w:color w:val="auto"/>
                <w:sz w:val="18"/>
                <w:szCs w:val="18"/>
              </w:rPr>
              <w:t>Monday, January 27, 2025</w:t>
            </w:r>
          </w:p>
        </w:tc>
        <w:tc>
          <w:tcPr>
            <w:tcW w:w="2199" w:type="dxa"/>
            <w:tcBorders>
              <w:top w:val="single" w:sz="4" w:space="0" w:color="B2B2B2" w:themeColor="accent5" w:themeTint="99"/>
            </w:tcBorders>
            <w:hideMark/>
          </w:tcPr>
          <w:p w:rsidR="001E0D27" w:rsidRPr="001E0D27" w:rsidP="001E0D27" w14:paraId="6768590A" w14:textId="77777777">
            <w:pPr>
              <w:pStyle w:val="DisclaimerHeading"/>
              <w:keepLines/>
              <w:spacing w:before="40" w:after="40" w:line="220" w:lineRule="exact"/>
              <w:jc w:val="center"/>
              <w:rPr>
                <w:b w:val="0"/>
                <w:color w:val="auto"/>
                <w:sz w:val="18"/>
                <w:szCs w:val="18"/>
              </w:rPr>
            </w:pPr>
            <w:r w:rsidRPr="001E0D27">
              <w:rPr>
                <w:b w:val="0"/>
                <w:color w:val="auto"/>
                <w:sz w:val="18"/>
                <w:szCs w:val="18"/>
              </w:rPr>
              <w:t>Thursday, January 30, 2025</w:t>
            </w:r>
          </w:p>
        </w:tc>
      </w:tr>
      <w:tr w14:paraId="515E5C4B" w14:textId="77777777" w:rsidTr="001E0D27">
        <w:tblPrEx>
          <w:tblW w:w="0" w:type="auto"/>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Look w:val="04A0"/>
        </w:tblPrEx>
        <w:trPr>
          <w:trHeight w:val="555"/>
        </w:trPr>
        <w:tc>
          <w:tcPr>
            <w:tcW w:w="2070" w:type="dxa"/>
            <w:tcBorders>
              <w:top w:val="single" w:sz="4" w:space="0" w:color="B2B2B2" w:themeColor="accent5" w:themeTint="99"/>
              <w:left w:val="single" w:sz="4" w:space="0" w:color="B2B2B2" w:themeColor="accent5" w:themeTint="99"/>
              <w:bottom w:val="single" w:sz="4" w:space="0" w:color="B2B2B2" w:themeColor="accent5" w:themeTint="99"/>
            </w:tcBorders>
            <w:shd w:val="clear" w:color="auto" w:fill="E1F6FF"/>
            <w:hideMark/>
          </w:tcPr>
          <w:p w:rsidR="001E0D27" w:rsidRPr="001E0D27" w:rsidP="001E0D27" w14:paraId="3669D8E0" w14:textId="77777777">
            <w:pPr>
              <w:pStyle w:val="DisclaimerHeading"/>
              <w:keepLines/>
              <w:spacing w:before="40" w:after="40" w:line="220" w:lineRule="exact"/>
              <w:rPr>
                <w:b w:val="0"/>
                <w:i w:val="0"/>
                <w:color w:val="auto"/>
                <w:sz w:val="18"/>
                <w:szCs w:val="18"/>
              </w:rPr>
            </w:pPr>
            <w:r w:rsidRPr="001E0D27">
              <w:rPr>
                <w:b w:val="0"/>
                <w:i w:val="0"/>
                <w:color w:val="auto"/>
                <w:sz w:val="18"/>
                <w:szCs w:val="18"/>
              </w:rPr>
              <w:t>Tuesday, March 4, 2025</w:t>
            </w:r>
          </w:p>
        </w:tc>
        <w:tc>
          <w:tcPr>
            <w:tcW w:w="810" w:type="dxa"/>
            <w:hideMark/>
          </w:tcPr>
          <w:p w:rsidR="001E0D27" w:rsidRPr="001E0D27" w:rsidP="001E0D27" w14:paraId="15B1CFA9" w14:textId="77777777">
            <w:pPr>
              <w:pStyle w:val="DisclaimerHeading"/>
              <w:keepLines/>
              <w:spacing w:before="40" w:after="40" w:line="220" w:lineRule="exact"/>
              <w:rPr>
                <w:b w:val="0"/>
                <w:color w:val="auto"/>
                <w:szCs w:val="18"/>
              </w:rPr>
            </w:pPr>
            <w:r w:rsidRPr="001E0D27">
              <w:rPr>
                <w:b w:val="0"/>
                <w:color w:val="auto"/>
                <w:szCs w:val="18"/>
              </w:rPr>
              <w:t>1:00pm – 3:00pm</w:t>
            </w:r>
          </w:p>
        </w:tc>
        <w:tc>
          <w:tcPr>
            <w:tcW w:w="2160" w:type="dxa"/>
            <w:hideMark/>
          </w:tcPr>
          <w:p w:rsidR="001E0D27" w:rsidRPr="001E0D27" w:rsidP="001E0D27" w14:paraId="61784868" w14:textId="77777777">
            <w:pPr>
              <w:pStyle w:val="AttendeesList"/>
              <w:keepLines/>
              <w:spacing w:before="40" w:after="40" w:line="220" w:lineRule="exact"/>
              <w:rPr>
                <w:i/>
                <w:szCs w:val="18"/>
              </w:rPr>
            </w:pPr>
            <w:r w:rsidRPr="001E0D27">
              <w:rPr>
                <w:i/>
                <w:szCs w:val="18"/>
              </w:rPr>
              <w:t>WebEx / Conference &amp; Training Center</w:t>
            </w:r>
          </w:p>
        </w:tc>
        <w:tc>
          <w:tcPr>
            <w:tcW w:w="2070" w:type="dxa"/>
            <w:hideMark/>
          </w:tcPr>
          <w:p w:rsidR="001E0D27" w:rsidRPr="001E0D27" w:rsidP="001E0D27" w14:paraId="5E7E9898" w14:textId="77777777">
            <w:pPr>
              <w:pStyle w:val="DisclaimerHeading"/>
              <w:keepLines/>
              <w:spacing w:before="40" w:after="40" w:line="220" w:lineRule="exact"/>
              <w:jc w:val="center"/>
              <w:rPr>
                <w:b w:val="0"/>
                <w:color w:val="auto"/>
                <w:sz w:val="18"/>
                <w:szCs w:val="18"/>
              </w:rPr>
            </w:pPr>
            <w:r w:rsidRPr="001E0D27">
              <w:rPr>
                <w:b w:val="0"/>
                <w:color w:val="auto"/>
                <w:sz w:val="18"/>
                <w:szCs w:val="18"/>
              </w:rPr>
              <w:t>Monday, February 24, 2025</w:t>
            </w:r>
          </w:p>
        </w:tc>
        <w:tc>
          <w:tcPr>
            <w:tcW w:w="2199" w:type="dxa"/>
            <w:hideMark/>
          </w:tcPr>
          <w:p w:rsidR="001E0D27" w:rsidRPr="001E0D27" w:rsidP="001E0D27" w14:paraId="39B0DEC1" w14:textId="77777777">
            <w:pPr>
              <w:pStyle w:val="DisclaimerHeading"/>
              <w:keepLines/>
              <w:spacing w:before="40" w:after="40" w:line="220" w:lineRule="exact"/>
              <w:jc w:val="center"/>
              <w:rPr>
                <w:b w:val="0"/>
                <w:color w:val="auto"/>
                <w:sz w:val="18"/>
                <w:szCs w:val="18"/>
              </w:rPr>
            </w:pPr>
            <w:r w:rsidRPr="001E0D27">
              <w:rPr>
                <w:b w:val="0"/>
                <w:color w:val="auto"/>
                <w:sz w:val="18"/>
                <w:szCs w:val="18"/>
              </w:rPr>
              <w:t>Thursday, February 27, 2025</w:t>
            </w:r>
          </w:p>
        </w:tc>
      </w:tr>
      <w:tr w14:paraId="5F94F2DE" w14:textId="77777777" w:rsidTr="001E0D27">
        <w:tblPrEx>
          <w:tblW w:w="0" w:type="auto"/>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Look w:val="04A0"/>
        </w:tblPrEx>
        <w:trPr>
          <w:trHeight w:val="555"/>
        </w:trPr>
        <w:tc>
          <w:tcPr>
            <w:tcW w:w="2070" w:type="dxa"/>
            <w:tcBorders>
              <w:top w:val="single" w:sz="4" w:space="0" w:color="B2B2B2" w:themeColor="accent5" w:themeTint="99"/>
              <w:left w:val="single" w:sz="4" w:space="0" w:color="B2B2B2" w:themeColor="accent5" w:themeTint="99"/>
              <w:bottom w:val="single" w:sz="4" w:space="0" w:color="B2B2B2" w:themeColor="accent5" w:themeTint="99"/>
            </w:tcBorders>
            <w:shd w:val="clear" w:color="auto" w:fill="E1F6FF"/>
            <w:hideMark/>
          </w:tcPr>
          <w:p w:rsidR="001E0D27" w:rsidRPr="001E0D27" w:rsidP="001E0D27" w14:paraId="2C077C58" w14:textId="77777777">
            <w:pPr>
              <w:pStyle w:val="DisclaimerHeading"/>
              <w:keepLines/>
              <w:spacing w:before="40" w:after="40" w:line="220" w:lineRule="exact"/>
              <w:rPr>
                <w:b w:val="0"/>
                <w:i w:val="0"/>
                <w:color w:val="auto"/>
                <w:sz w:val="18"/>
                <w:szCs w:val="18"/>
              </w:rPr>
            </w:pPr>
            <w:r w:rsidRPr="001E0D27">
              <w:rPr>
                <w:b w:val="0"/>
                <w:i w:val="0"/>
                <w:color w:val="auto"/>
                <w:sz w:val="18"/>
                <w:szCs w:val="18"/>
              </w:rPr>
              <w:t>Tuesday, April 1, 2025</w:t>
            </w:r>
          </w:p>
        </w:tc>
        <w:tc>
          <w:tcPr>
            <w:tcW w:w="810" w:type="dxa"/>
            <w:hideMark/>
          </w:tcPr>
          <w:p w:rsidR="001E0D27" w:rsidRPr="001E0D27" w:rsidP="001E0D27" w14:paraId="363A004E" w14:textId="77777777">
            <w:pPr>
              <w:pStyle w:val="DisclaimerHeading"/>
              <w:keepLines/>
              <w:spacing w:before="40" w:after="40" w:line="220" w:lineRule="exact"/>
              <w:rPr>
                <w:b w:val="0"/>
                <w:color w:val="auto"/>
                <w:szCs w:val="18"/>
              </w:rPr>
            </w:pPr>
            <w:r w:rsidRPr="001E0D27">
              <w:rPr>
                <w:b w:val="0"/>
                <w:color w:val="auto"/>
                <w:szCs w:val="18"/>
              </w:rPr>
              <w:t>1:00pm – 3:00pm</w:t>
            </w:r>
          </w:p>
        </w:tc>
        <w:tc>
          <w:tcPr>
            <w:tcW w:w="2160" w:type="dxa"/>
            <w:hideMark/>
          </w:tcPr>
          <w:p w:rsidR="001E0D27" w:rsidRPr="001E0D27" w:rsidP="001E0D27" w14:paraId="6A2A7CFC" w14:textId="77777777">
            <w:pPr>
              <w:pStyle w:val="AttendeesList"/>
              <w:keepLines/>
              <w:spacing w:before="40" w:after="40" w:line="220" w:lineRule="exact"/>
              <w:rPr>
                <w:i/>
                <w:szCs w:val="18"/>
              </w:rPr>
            </w:pPr>
            <w:r w:rsidRPr="001E0D27">
              <w:rPr>
                <w:i/>
                <w:szCs w:val="18"/>
              </w:rPr>
              <w:t>WebEx / Conference &amp; Training Center</w:t>
            </w:r>
          </w:p>
        </w:tc>
        <w:tc>
          <w:tcPr>
            <w:tcW w:w="2070" w:type="dxa"/>
            <w:hideMark/>
          </w:tcPr>
          <w:p w:rsidR="001E0D27" w:rsidRPr="001E0D27" w:rsidP="001E0D27" w14:paraId="7B09C8C7" w14:textId="77777777">
            <w:pPr>
              <w:pStyle w:val="DisclaimerHeading"/>
              <w:keepLines/>
              <w:spacing w:before="40" w:after="40" w:line="220" w:lineRule="exact"/>
              <w:jc w:val="center"/>
              <w:rPr>
                <w:b w:val="0"/>
                <w:color w:val="auto"/>
                <w:sz w:val="18"/>
                <w:szCs w:val="18"/>
              </w:rPr>
            </w:pPr>
            <w:r w:rsidRPr="001E0D27">
              <w:rPr>
                <w:b w:val="0"/>
                <w:color w:val="auto"/>
                <w:sz w:val="18"/>
                <w:szCs w:val="18"/>
              </w:rPr>
              <w:t>Monday, March 24, 2025</w:t>
            </w:r>
          </w:p>
        </w:tc>
        <w:tc>
          <w:tcPr>
            <w:tcW w:w="2199" w:type="dxa"/>
            <w:hideMark/>
          </w:tcPr>
          <w:p w:rsidR="001E0D27" w:rsidRPr="001E0D27" w:rsidP="001E0D27" w14:paraId="41687673" w14:textId="77777777">
            <w:pPr>
              <w:pStyle w:val="DisclaimerHeading"/>
              <w:keepLines/>
              <w:spacing w:before="40" w:after="40" w:line="220" w:lineRule="exact"/>
              <w:jc w:val="center"/>
              <w:rPr>
                <w:b w:val="0"/>
                <w:color w:val="auto"/>
                <w:sz w:val="18"/>
                <w:szCs w:val="18"/>
              </w:rPr>
            </w:pPr>
            <w:r w:rsidRPr="001E0D27">
              <w:rPr>
                <w:b w:val="0"/>
                <w:color w:val="auto"/>
                <w:sz w:val="18"/>
                <w:szCs w:val="18"/>
              </w:rPr>
              <w:t>Thursday, March 27, 2025</w:t>
            </w:r>
          </w:p>
        </w:tc>
      </w:tr>
      <w:tr w14:paraId="34E20156" w14:textId="77777777" w:rsidTr="001E0D27">
        <w:tblPrEx>
          <w:tblW w:w="0" w:type="auto"/>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Look w:val="04A0"/>
        </w:tblPrEx>
        <w:trPr>
          <w:trHeight w:val="555"/>
        </w:trPr>
        <w:tc>
          <w:tcPr>
            <w:tcW w:w="2070" w:type="dxa"/>
            <w:tcBorders>
              <w:top w:val="single" w:sz="4" w:space="0" w:color="B2B2B2" w:themeColor="accent5" w:themeTint="99"/>
              <w:left w:val="single" w:sz="4" w:space="0" w:color="B2B2B2" w:themeColor="accent5" w:themeTint="99"/>
              <w:bottom w:val="single" w:sz="4" w:space="0" w:color="B2B2B2" w:themeColor="accent5" w:themeTint="99"/>
            </w:tcBorders>
            <w:shd w:val="clear" w:color="auto" w:fill="E1F6FF"/>
            <w:hideMark/>
          </w:tcPr>
          <w:p w:rsidR="001E0D27" w:rsidRPr="001E0D27" w:rsidP="001E0D27" w14:paraId="7036075C" w14:textId="77777777">
            <w:pPr>
              <w:pStyle w:val="DisclaimerHeading"/>
              <w:keepLines/>
              <w:spacing w:before="40" w:after="40" w:line="220" w:lineRule="exact"/>
              <w:rPr>
                <w:b w:val="0"/>
                <w:i w:val="0"/>
                <w:color w:val="auto"/>
                <w:sz w:val="18"/>
                <w:szCs w:val="18"/>
              </w:rPr>
            </w:pPr>
            <w:r w:rsidRPr="001E0D27">
              <w:rPr>
                <w:b w:val="0"/>
                <w:i w:val="0"/>
                <w:color w:val="auto"/>
                <w:sz w:val="18"/>
                <w:szCs w:val="18"/>
              </w:rPr>
              <w:t>Tuesday, May 6, 2025</w:t>
            </w:r>
          </w:p>
        </w:tc>
        <w:tc>
          <w:tcPr>
            <w:tcW w:w="810" w:type="dxa"/>
            <w:hideMark/>
          </w:tcPr>
          <w:p w:rsidR="001E0D27" w:rsidRPr="001E0D27" w:rsidP="001E0D27" w14:paraId="63C55705" w14:textId="77777777">
            <w:pPr>
              <w:pStyle w:val="DisclaimerHeading"/>
              <w:keepLines/>
              <w:spacing w:before="40" w:after="40" w:line="220" w:lineRule="exact"/>
              <w:rPr>
                <w:b w:val="0"/>
                <w:color w:val="auto"/>
                <w:szCs w:val="18"/>
              </w:rPr>
            </w:pPr>
            <w:r w:rsidRPr="001E0D27">
              <w:rPr>
                <w:b w:val="0"/>
                <w:color w:val="auto"/>
                <w:szCs w:val="18"/>
              </w:rPr>
              <w:t>1:00pm – 3:00pm</w:t>
            </w:r>
          </w:p>
        </w:tc>
        <w:tc>
          <w:tcPr>
            <w:tcW w:w="2160" w:type="dxa"/>
            <w:hideMark/>
          </w:tcPr>
          <w:p w:rsidR="001E0D27" w:rsidRPr="001E0D27" w:rsidP="001E0D27" w14:paraId="24A84BBC" w14:textId="77777777">
            <w:pPr>
              <w:pStyle w:val="AttendeesList"/>
              <w:keepLines/>
              <w:spacing w:before="40" w:after="40" w:line="220" w:lineRule="exact"/>
              <w:rPr>
                <w:i/>
                <w:szCs w:val="18"/>
              </w:rPr>
            </w:pPr>
            <w:r w:rsidRPr="001E0D27">
              <w:rPr>
                <w:i/>
                <w:szCs w:val="18"/>
              </w:rPr>
              <w:t>WebEx / Conference &amp; Training Center</w:t>
            </w:r>
          </w:p>
        </w:tc>
        <w:tc>
          <w:tcPr>
            <w:tcW w:w="2070" w:type="dxa"/>
            <w:hideMark/>
          </w:tcPr>
          <w:p w:rsidR="001E0D27" w:rsidRPr="001E0D27" w:rsidP="001E0D27" w14:paraId="676E3ADE" w14:textId="77777777">
            <w:pPr>
              <w:pStyle w:val="DisclaimerHeading"/>
              <w:keepLines/>
              <w:spacing w:before="40" w:after="40" w:line="220" w:lineRule="exact"/>
              <w:jc w:val="center"/>
              <w:rPr>
                <w:b w:val="0"/>
                <w:color w:val="auto"/>
                <w:sz w:val="18"/>
                <w:szCs w:val="18"/>
              </w:rPr>
            </w:pPr>
            <w:r w:rsidRPr="001E0D27">
              <w:rPr>
                <w:b w:val="0"/>
                <w:color w:val="auto"/>
                <w:sz w:val="18"/>
                <w:szCs w:val="18"/>
              </w:rPr>
              <w:t>Monday, April 28, 2025</w:t>
            </w:r>
          </w:p>
        </w:tc>
        <w:tc>
          <w:tcPr>
            <w:tcW w:w="2199" w:type="dxa"/>
            <w:hideMark/>
          </w:tcPr>
          <w:p w:rsidR="001E0D27" w:rsidRPr="001E0D27" w:rsidP="001E0D27" w14:paraId="0AD5531C" w14:textId="77777777">
            <w:pPr>
              <w:pStyle w:val="DisclaimerHeading"/>
              <w:keepLines/>
              <w:spacing w:before="40" w:after="40" w:line="220" w:lineRule="exact"/>
              <w:jc w:val="center"/>
              <w:rPr>
                <w:b w:val="0"/>
                <w:color w:val="auto"/>
                <w:sz w:val="18"/>
                <w:szCs w:val="18"/>
              </w:rPr>
            </w:pPr>
            <w:r w:rsidRPr="001E0D27">
              <w:rPr>
                <w:b w:val="0"/>
                <w:color w:val="auto"/>
                <w:sz w:val="18"/>
                <w:szCs w:val="18"/>
              </w:rPr>
              <w:t>Thursday, May 1, 2025</w:t>
            </w:r>
          </w:p>
        </w:tc>
      </w:tr>
      <w:tr w14:paraId="412DCD22" w14:textId="77777777" w:rsidTr="001E0D27">
        <w:tblPrEx>
          <w:tblW w:w="0" w:type="auto"/>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Look w:val="04A0"/>
        </w:tblPrEx>
        <w:trPr>
          <w:trHeight w:val="555"/>
        </w:trPr>
        <w:tc>
          <w:tcPr>
            <w:tcW w:w="2070" w:type="dxa"/>
            <w:tcBorders>
              <w:top w:val="single" w:sz="4" w:space="0" w:color="B2B2B2" w:themeColor="accent5" w:themeTint="99"/>
              <w:left w:val="single" w:sz="4" w:space="0" w:color="B2B2B2" w:themeColor="accent5" w:themeTint="99"/>
              <w:bottom w:val="single" w:sz="4" w:space="0" w:color="B2B2B2" w:themeColor="accent5" w:themeTint="99"/>
            </w:tcBorders>
            <w:shd w:val="clear" w:color="auto" w:fill="E1F6FF"/>
            <w:hideMark/>
          </w:tcPr>
          <w:p w:rsidR="001E0D27" w:rsidRPr="001E0D27" w:rsidP="001E0D27" w14:paraId="5D5A0181" w14:textId="77777777">
            <w:pPr>
              <w:pStyle w:val="DisclaimerHeading"/>
              <w:keepLines/>
              <w:spacing w:before="40" w:after="40" w:line="220" w:lineRule="exact"/>
              <w:rPr>
                <w:b w:val="0"/>
                <w:i w:val="0"/>
                <w:color w:val="auto"/>
                <w:sz w:val="18"/>
                <w:szCs w:val="18"/>
              </w:rPr>
            </w:pPr>
            <w:r w:rsidRPr="001E0D27">
              <w:rPr>
                <w:b w:val="0"/>
                <w:i w:val="0"/>
                <w:color w:val="auto"/>
                <w:sz w:val="18"/>
                <w:szCs w:val="18"/>
              </w:rPr>
              <w:t>Tuesday, June 3, 2025</w:t>
            </w:r>
          </w:p>
        </w:tc>
        <w:tc>
          <w:tcPr>
            <w:tcW w:w="810" w:type="dxa"/>
            <w:tcBorders>
              <w:bottom w:val="single" w:sz="4" w:space="0" w:color="B2B2B2" w:themeColor="accent5" w:themeTint="99"/>
            </w:tcBorders>
            <w:hideMark/>
          </w:tcPr>
          <w:p w:rsidR="001E0D27" w:rsidRPr="001E0D27" w:rsidP="001E0D27" w14:paraId="60F893B8" w14:textId="77777777">
            <w:pPr>
              <w:pStyle w:val="DisclaimerHeading"/>
              <w:keepLines/>
              <w:spacing w:before="40" w:after="40" w:line="220" w:lineRule="exact"/>
              <w:rPr>
                <w:b w:val="0"/>
                <w:color w:val="auto"/>
                <w:szCs w:val="18"/>
              </w:rPr>
            </w:pPr>
            <w:r w:rsidRPr="001E0D27">
              <w:rPr>
                <w:b w:val="0"/>
                <w:color w:val="auto"/>
                <w:szCs w:val="18"/>
              </w:rPr>
              <w:t>1:00pm – 3:00pm</w:t>
            </w:r>
          </w:p>
        </w:tc>
        <w:tc>
          <w:tcPr>
            <w:tcW w:w="2160" w:type="dxa"/>
            <w:tcBorders>
              <w:bottom w:val="single" w:sz="4" w:space="0" w:color="B2B2B2" w:themeColor="accent5" w:themeTint="99"/>
            </w:tcBorders>
            <w:hideMark/>
          </w:tcPr>
          <w:p w:rsidR="001E0D27" w:rsidRPr="001E0D27" w:rsidP="001E0D27" w14:paraId="3B47DC3A" w14:textId="77777777">
            <w:pPr>
              <w:pStyle w:val="AttendeesList"/>
              <w:keepLines/>
              <w:spacing w:before="40" w:after="40" w:line="220" w:lineRule="exact"/>
              <w:rPr>
                <w:i/>
                <w:szCs w:val="18"/>
              </w:rPr>
            </w:pPr>
            <w:r w:rsidRPr="001E0D27">
              <w:rPr>
                <w:i/>
                <w:szCs w:val="18"/>
              </w:rPr>
              <w:t>WebEx / Conference &amp; Training Center</w:t>
            </w:r>
          </w:p>
        </w:tc>
        <w:tc>
          <w:tcPr>
            <w:tcW w:w="2070" w:type="dxa"/>
            <w:tcBorders>
              <w:bottom w:val="single" w:sz="4" w:space="0" w:color="B2B2B2" w:themeColor="accent5" w:themeTint="99"/>
            </w:tcBorders>
            <w:hideMark/>
          </w:tcPr>
          <w:p w:rsidR="001E0D27" w:rsidRPr="001E0D27" w:rsidP="001E0D27" w14:paraId="4ED86381" w14:textId="77777777">
            <w:pPr>
              <w:pStyle w:val="DisclaimerHeading"/>
              <w:keepLines/>
              <w:spacing w:before="40" w:after="40" w:line="220" w:lineRule="exact"/>
              <w:jc w:val="center"/>
              <w:rPr>
                <w:b w:val="0"/>
                <w:color w:val="auto"/>
                <w:sz w:val="18"/>
                <w:szCs w:val="18"/>
              </w:rPr>
            </w:pPr>
            <w:r w:rsidRPr="001E0D27">
              <w:rPr>
                <w:b w:val="0"/>
                <w:color w:val="auto"/>
                <w:sz w:val="18"/>
                <w:szCs w:val="18"/>
              </w:rPr>
              <w:t>Monday, May 26, 2025</w:t>
            </w:r>
          </w:p>
        </w:tc>
        <w:tc>
          <w:tcPr>
            <w:tcW w:w="2199" w:type="dxa"/>
            <w:tcBorders>
              <w:bottom w:val="single" w:sz="4" w:space="0" w:color="B2B2B2" w:themeColor="accent5" w:themeTint="99"/>
            </w:tcBorders>
            <w:hideMark/>
          </w:tcPr>
          <w:p w:rsidR="001E0D27" w:rsidRPr="001E0D27" w:rsidP="001E0D27" w14:paraId="5E6E1BCF" w14:textId="77777777">
            <w:pPr>
              <w:pStyle w:val="DisclaimerHeading"/>
              <w:keepLines/>
              <w:spacing w:before="40" w:after="40" w:line="220" w:lineRule="exact"/>
              <w:jc w:val="center"/>
              <w:rPr>
                <w:b w:val="0"/>
                <w:color w:val="auto"/>
                <w:sz w:val="18"/>
                <w:szCs w:val="18"/>
              </w:rPr>
            </w:pPr>
            <w:r w:rsidRPr="001E0D27">
              <w:rPr>
                <w:b w:val="0"/>
                <w:color w:val="auto"/>
                <w:sz w:val="18"/>
                <w:szCs w:val="18"/>
              </w:rPr>
              <w:t>Thursday, May 29, 2025</w:t>
            </w:r>
          </w:p>
        </w:tc>
      </w:tr>
      <w:tr w14:paraId="1086A753" w14:textId="77777777" w:rsidTr="001E0D27">
        <w:tblPrEx>
          <w:tblW w:w="0" w:type="auto"/>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Look w:val="04A0"/>
        </w:tblPrEx>
        <w:trPr>
          <w:trHeight w:val="555"/>
        </w:trPr>
        <w:tc>
          <w:tcPr>
            <w:tcW w:w="2070" w:type="dxa"/>
            <w:tcBorders>
              <w:top w:val="single" w:sz="4" w:space="0" w:color="B2B2B2" w:themeColor="accent5" w:themeTint="99"/>
              <w:left w:val="single" w:sz="4" w:space="0" w:color="B2B2B2" w:themeColor="accent5" w:themeTint="99"/>
              <w:bottom w:val="single" w:sz="4" w:space="0" w:color="B2B2B2" w:themeColor="accent5" w:themeTint="99"/>
            </w:tcBorders>
            <w:shd w:val="clear" w:color="auto" w:fill="E1F6FF"/>
            <w:hideMark/>
          </w:tcPr>
          <w:p w:rsidR="001E0D27" w:rsidRPr="001E0D27" w:rsidP="001E0D27" w14:paraId="152371A3" w14:textId="697083F3">
            <w:pPr>
              <w:pStyle w:val="DisclaimerHeading"/>
              <w:keepLines/>
              <w:spacing w:before="40" w:after="40" w:line="220" w:lineRule="exact"/>
              <w:rPr>
                <w:b w:val="0"/>
                <w:i w:val="0"/>
                <w:color w:val="auto"/>
                <w:sz w:val="18"/>
                <w:szCs w:val="18"/>
              </w:rPr>
            </w:pPr>
            <w:r>
              <w:rPr>
                <w:b w:val="0"/>
                <w:i w:val="0"/>
                <w:color w:val="auto"/>
                <w:sz w:val="18"/>
                <w:szCs w:val="18"/>
              </w:rPr>
              <w:t>Monday, July 8, 2025</w:t>
            </w:r>
          </w:p>
        </w:tc>
        <w:tc>
          <w:tcPr>
            <w:tcW w:w="810" w:type="dxa"/>
            <w:tcBorders>
              <w:top w:val="single" w:sz="4" w:space="0" w:color="B2B2B2" w:themeColor="accent5" w:themeTint="99"/>
              <w:bottom w:val="single" w:sz="4" w:space="0" w:color="B2B2B2" w:themeColor="accent5" w:themeTint="99"/>
            </w:tcBorders>
            <w:hideMark/>
          </w:tcPr>
          <w:p w:rsidR="001E0D27" w:rsidRPr="001E0D27" w:rsidP="001E0D27" w14:paraId="0BCB3D5B" w14:textId="77777777">
            <w:pPr>
              <w:pStyle w:val="DisclaimerHeading"/>
              <w:keepLines/>
              <w:spacing w:before="40" w:after="40" w:line="220" w:lineRule="exact"/>
              <w:rPr>
                <w:b w:val="0"/>
                <w:color w:val="auto"/>
                <w:szCs w:val="18"/>
              </w:rPr>
            </w:pPr>
            <w:r w:rsidRPr="001E0D27">
              <w:rPr>
                <w:b w:val="0"/>
                <w:color w:val="auto"/>
                <w:szCs w:val="18"/>
              </w:rPr>
              <w:t>1:00pm – 3:00pm</w:t>
            </w:r>
          </w:p>
        </w:tc>
        <w:tc>
          <w:tcPr>
            <w:tcW w:w="2160" w:type="dxa"/>
            <w:tcBorders>
              <w:top w:val="single" w:sz="4" w:space="0" w:color="B2B2B2" w:themeColor="accent5" w:themeTint="99"/>
              <w:bottom w:val="single" w:sz="4" w:space="0" w:color="B2B2B2" w:themeColor="accent5" w:themeTint="99"/>
            </w:tcBorders>
            <w:hideMark/>
          </w:tcPr>
          <w:p w:rsidR="001E0D27" w:rsidRPr="001E0D27" w:rsidP="001E0D27" w14:paraId="0EFD75F2" w14:textId="77777777">
            <w:pPr>
              <w:pStyle w:val="AttendeesList"/>
              <w:keepLines/>
              <w:spacing w:before="40" w:after="40" w:line="220" w:lineRule="exact"/>
              <w:rPr>
                <w:i/>
                <w:szCs w:val="18"/>
              </w:rPr>
            </w:pPr>
            <w:r w:rsidRPr="001E0D27">
              <w:rPr>
                <w:i/>
                <w:szCs w:val="18"/>
              </w:rPr>
              <w:t>WebEx / Conference &amp; Training Center</w:t>
            </w:r>
          </w:p>
        </w:tc>
        <w:tc>
          <w:tcPr>
            <w:tcW w:w="2070" w:type="dxa"/>
            <w:tcBorders>
              <w:top w:val="single" w:sz="4" w:space="0" w:color="B2B2B2" w:themeColor="accent5" w:themeTint="99"/>
              <w:bottom w:val="single" w:sz="4" w:space="0" w:color="B2B2B2" w:themeColor="accent5" w:themeTint="99"/>
            </w:tcBorders>
            <w:vAlign w:val="center"/>
            <w:hideMark/>
          </w:tcPr>
          <w:p w:rsidR="001E0D27" w:rsidRPr="001E0D27" w:rsidP="001E0D27" w14:paraId="2CA28CFF" w14:textId="3403F1A4">
            <w:pPr>
              <w:pStyle w:val="DisclaimerHeading"/>
              <w:keepLines/>
              <w:spacing w:before="40" w:after="40" w:line="220" w:lineRule="exact"/>
              <w:jc w:val="center"/>
              <w:rPr>
                <w:b w:val="0"/>
                <w:color w:val="auto"/>
                <w:sz w:val="18"/>
                <w:szCs w:val="18"/>
              </w:rPr>
            </w:pPr>
            <w:r w:rsidRPr="001E0D27">
              <w:rPr>
                <w:b w:val="0"/>
                <w:color w:val="auto"/>
                <w:sz w:val="18"/>
                <w:szCs w:val="18"/>
              </w:rPr>
              <w:t>Monday, June 30, 2025</w:t>
            </w:r>
          </w:p>
        </w:tc>
        <w:tc>
          <w:tcPr>
            <w:tcW w:w="2199" w:type="dxa"/>
            <w:tcBorders>
              <w:top w:val="single" w:sz="4" w:space="0" w:color="B2B2B2" w:themeColor="accent5" w:themeTint="99"/>
              <w:bottom w:val="single" w:sz="4" w:space="0" w:color="B2B2B2" w:themeColor="accent5" w:themeTint="99"/>
            </w:tcBorders>
            <w:vAlign w:val="center"/>
            <w:hideMark/>
          </w:tcPr>
          <w:p w:rsidR="001E0D27" w:rsidRPr="001E0D27" w:rsidP="001E0D27" w14:paraId="7307E26F" w14:textId="14A3AFA6">
            <w:pPr>
              <w:pStyle w:val="DisclaimerHeading"/>
              <w:keepLines/>
              <w:spacing w:before="40" w:after="40" w:line="220" w:lineRule="exact"/>
              <w:jc w:val="center"/>
              <w:rPr>
                <w:b w:val="0"/>
                <w:color w:val="auto"/>
                <w:sz w:val="18"/>
                <w:szCs w:val="18"/>
              </w:rPr>
            </w:pPr>
            <w:r w:rsidRPr="001E0D27">
              <w:rPr>
                <w:b w:val="0"/>
                <w:color w:val="auto"/>
                <w:sz w:val="18"/>
                <w:szCs w:val="18"/>
              </w:rPr>
              <w:t>Thursday, July 3, 2025</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RPr="00B62597" w:rsidP="00337321" w14:paraId="1AE4FB37" w14:textId="77777777">
      <w:pPr>
        <w:pStyle w:val="Author"/>
      </w:pPr>
    </w:p>
    <w:p w:rsidR="00691BAC" w:rsidP="001A3402" w14:paraId="775C9630" w14:textId="77777777">
      <w:pPr>
        <w:pStyle w:val="DisclaimerHeading"/>
      </w:pPr>
    </w:p>
    <w:p w:rsidR="001A3402" w:rsidRPr="00B62597" w:rsidP="001A3402" w14:paraId="47678F3C" w14:textId="4C411201">
      <w:pPr>
        <w:pStyle w:val="DisclaimerHeading"/>
      </w:pPr>
      <w:r>
        <w:t>Anti</w:t>
      </w:r>
      <w:r w:rsidRPr="00B62597">
        <w:t>trust:</w:t>
      </w:r>
    </w:p>
    <w:p w:rsidR="001A3402" w:rsidRPr="00B62597" w:rsidP="001A3402" w14:paraId="6AEEBC0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r w:rsidRPr="00B62597">
        <w:t>conversation still</w:t>
      </w:r>
      <w:r w:rsidRPr="00B62597">
        <w:t xml:space="preserve"> persists, parties will be asked to leave the meeting or the meeting will be adjourned.</w:t>
      </w:r>
    </w:p>
    <w:p w:rsidR="001A3402" w:rsidRPr="00B62597" w:rsidP="001A3402" w14:paraId="63B01A1A" w14:textId="77777777">
      <w:pPr>
        <w:pStyle w:val="DisclaimerHeading"/>
        <w:spacing w:before="240"/>
      </w:pPr>
      <w:r w:rsidRPr="00B62597">
        <w:t>Code of Conduct:</w:t>
      </w:r>
    </w:p>
    <w:p w:rsidR="001A3402" w:rsidRPr="00B62597" w:rsidP="001A3402" w14:paraId="75E6553F"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5" w:history="1">
        <w:r w:rsidRPr="00FA5955">
          <w:rPr>
            <w:rStyle w:val="Hyperlink"/>
          </w:rPr>
          <w:t>PJM Code of Conduct</w:t>
        </w:r>
      </w:hyperlink>
      <w:r w:rsidRPr="00FA5955">
        <w:t>.</w:t>
      </w:r>
    </w:p>
    <w:p w:rsidR="001A3402" w:rsidRPr="00B62597" w:rsidP="001A3402" w14:paraId="2061511E" w14:textId="77777777">
      <w:pPr>
        <w:pStyle w:val="DisclaimerHeading"/>
        <w:spacing w:before="240"/>
      </w:pPr>
      <w:r w:rsidRPr="00B62597">
        <w:t xml:space="preserve">Public Meetings/Media Participation: </w:t>
      </w:r>
    </w:p>
    <w:p w:rsidR="001A3402" w:rsidP="001A3402" w14:paraId="5071AFDC"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 xml:space="preserve">are </w:t>
      </w:r>
      <w:r w:rsidRPr="00B62597">
        <w:t>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14:paraId="34745B19" w14:textId="77777777">
      <w:pPr>
        <w:pStyle w:val="DisclaimerHeading"/>
        <w:spacing w:before="240"/>
      </w:pPr>
      <w:r>
        <w:t>Participant Identification in WebEx:</w:t>
      </w:r>
    </w:p>
    <w:p w:rsidR="001A3402" w:rsidP="001A3402" w14:paraId="6ED78F31" w14:textId="77777777">
      <w:pPr>
        <w:pStyle w:val="DisclaimerBodyCopy"/>
      </w:pPr>
      <w:r>
        <w:t>When logging into the WebEx desktop client, please enter your real first and last name as well as a valid email address. Be sure to select the “call me” option.</w:t>
      </w:r>
    </w:p>
    <w:p w:rsidR="003D2A35" w:rsidP="001A3402" w14:paraId="5E9D4515" w14:textId="7777777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3D2A35" w:rsidP="003D2A35" w14:paraId="52702140" w14:textId="77777777">
      <w:pPr>
        <w:pStyle w:val="DisclaimerHeading"/>
        <w:spacing w:before="240"/>
      </w:pPr>
      <w:r w:rsidRPr="003D2A35">
        <w:t xml:space="preserve">Participant Use of </w:t>
      </w:r>
      <w:r w:rsidRPr="003D2A35">
        <w:t>Webex</w:t>
      </w:r>
      <w:r w:rsidRPr="003D2A35">
        <w:t xml:space="preserve"> Chat:</w:t>
      </w:r>
      <w:r>
        <w:t xml:space="preserve">                                                                                                                                                                                                      </w:t>
      </w:r>
      <w:r w:rsidRPr="003D2A35">
        <w:rPr>
          <w:b w:val="0"/>
          <w:color w:val="auto"/>
        </w:rPr>
        <w:t xml:space="preserve">The use of the </w:t>
      </w:r>
      <w:r w:rsidRPr="003D2A35">
        <w:rPr>
          <w:b w:val="0"/>
          <w:color w:val="auto"/>
        </w:rPr>
        <w:t>Webex</w:t>
      </w:r>
      <w:r w:rsidRPr="003D2A35">
        <w:rPr>
          <w:b w:val="0"/>
          <w:color w:val="auto"/>
        </w:rPr>
        <w:t xml:space="preserve"> chat feature during meetings </w:t>
      </w:r>
      <w:r w:rsidRPr="003D2A35">
        <w:rPr>
          <w:b w:val="0"/>
          <w:color w:val="auto"/>
        </w:rPr>
        <w:t>shall be primarily reserved</w:t>
      </w:r>
      <w:r w:rsidRPr="003D2A35">
        <w:rPr>
          <w:b w:val="0"/>
          <w:color w:val="auto"/>
        </w:rPr>
        <w:t xml:space="preserve"> for administrative and logistical purposes, such as managing a question or comment queue, noting technical difficulties, and meeting support or management purposes.  Utilizing </w:t>
      </w:r>
      <w:r w:rsidRPr="003D2A35">
        <w:rPr>
          <w:b w:val="0"/>
          <w:color w:val="auto"/>
        </w:rPr>
        <w:t>Webex</w:t>
      </w:r>
      <w:r w:rsidRPr="003D2A35">
        <w:rPr>
          <w:b w:val="0"/>
          <w:color w:val="auto"/>
        </w:rPr>
        <w:t xml:space="preserve"> chat for any other commentary should be limited to short phrases.  Detailed commentary or substantive dialog </w:t>
      </w:r>
      <w:r w:rsidRPr="003D2A35">
        <w:rPr>
          <w:b w:val="0"/>
          <w:color w:val="auto"/>
        </w:rPr>
        <w:t>shall be shared</w:t>
      </w:r>
      <w:r w:rsidRPr="003D2A35">
        <w:rPr>
          <w:b w:val="0"/>
          <w:color w:val="auto"/>
        </w:rPr>
        <w:t xml:space="preserve"> orally by entering the speaker queue</w:t>
      </w:r>
      <w:r>
        <w:t>.</w:t>
      </w:r>
    </w:p>
    <w:p w:rsidR="003D2A35" w:rsidP="001A3402" w14:paraId="32B8804C" w14:textId="77777777">
      <w:pPr>
        <w:pStyle w:val="DisclaimerBodyCopy"/>
      </w:pPr>
    </w:p>
    <w:p w:rsidR="00E82FEB" w:rsidP="00027F49" w14:paraId="6B1EBA99" w14:textId="77777777">
      <w:pPr>
        <w:pStyle w:val="DisclosureBody"/>
      </w:pPr>
    </w:p>
    <w:p w:rsidR="00027F49" w:rsidP="00027F49" w14:paraId="14E97B5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C2E7B52" w14:textId="77777777">
      <w:pPr>
        <w:pStyle w:val="DisclaimerHeading"/>
      </w:pPr>
    </w:p>
    <w:p w:rsidR="00027F49" w:rsidRPr="009C15C4" w:rsidP="00027F49" w14:paraId="7E3DDF23" w14:textId="7D72C9F4">
      <w:r>
        <w:rPr>
          <w:noProof/>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6118860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481.8pt;margin-left:1.6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D477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26A64691" w14:textId="52616529"/>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1C1CF8" w14:textId="7B78CA1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1AF5">
      <w:rPr>
        <w:rStyle w:val="PageNumber"/>
        <w:noProof/>
      </w:rPr>
      <w:t>3</w:t>
    </w:r>
    <w:r>
      <w:rPr>
        <w:rStyle w:val="PageNumber"/>
      </w:rPr>
      <w:fldChar w:fldCharType="end"/>
    </w:r>
  </w:p>
  <w:bookmarkStart w:id="3" w:name="OLE_LINK1"/>
  <w:p w:rsidR="00B62597" w:rsidRPr="001678E8" w14:paraId="15900E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14:paraId="5FFF4381" w14:textId="047B697D">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51">
      <w:t xml:space="preserve">As of </w:t>
    </w:r>
    <w:r w:rsidR="00F01AF5">
      <w:t>January 2,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5714"/>
    <w:rsid w:val="000232DF"/>
    <w:rsid w:val="00027F49"/>
    <w:rsid w:val="000333FF"/>
    <w:rsid w:val="00045256"/>
    <w:rsid w:val="00056DC6"/>
    <w:rsid w:val="00060902"/>
    <w:rsid w:val="00062230"/>
    <w:rsid w:val="0006798D"/>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6224"/>
    <w:rsid w:val="001A1276"/>
    <w:rsid w:val="001A3402"/>
    <w:rsid w:val="001B2242"/>
    <w:rsid w:val="001C0CC0"/>
    <w:rsid w:val="001C3955"/>
    <w:rsid w:val="001C6C19"/>
    <w:rsid w:val="001D3B68"/>
    <w:rsid w:val="001D5C25"/>
    <w:rsid w:val="001E0D27"/>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4850"/>
    <w:rsid w:val="003B55E1"/>
    <w:rsid w:val="003C17E2"/>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5319F"/>
    <w:rsid w:val="0046043F"/>
    <w:rsid w:val="00462D7A"/>
    <w:rsid w:val="00466343"/>
    <w:rsid w:val="004740C1"/>
    <w:rsid w:val="0047411C"/>
    <w:rsid w:val="00485F18"/>
    <w:rsid w:val="00491490"/>
    <w:rsid w:val="00494494"/>
    <w:rsid w:val="004969FA"/>
    <w:rsid w:val="004B7CE2"/>
    <w:rsid w:val="004C621A"/>
    <w:rsid w:val="004C6A2C"/>
    <w:rsid w:val="004D0437"/>
    <w:rsid w:val="004E026D"/>
    <w:rsid w:val="004E089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91BAC"/>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7F7C24"/>
    <w:rsid w:val="0081511B"/>
    <w:rsid w:val="0082016B"/>
    <w:rsid w:val="008208EA"/>
    <w:rsid w:val="00826FA2"/>
    <w:rsid w:val="008273F7"/>
    <w:rsid w:val="00832B9F"/>
    <w:rsid w:val="00837B12"/>
    <w:rsid w:val="00841282"/>
    <w:rsid w:val="00842838"/>
    <w:rsid w:val="00853844"/>
    <w:rsid w:val="008552A3"/>
    <w:rsid w:val="00876BE7"/>
    <w:rsid w:val="00882652"/>
    <w:rsid w:val="00884C4C"/>
    <w:rsid w:val="00894937"/>
    <w:rsid w:val="00895267"/>
    <w:rsid w:val="008A525D"/>
    <w:rsid w:val="008F0CF7"/>
    <w:rsid w:val="008F77D8"/>
    <w:rsid w:val="00911E7B"/>
    <w:rsid w:val="00912725"/>
    <w:rsid w:val="00917386"/>
    <w:rsid w:val="00927302"/>
    <w:rsid w:val="00930BAE"/>
    <w:rsid w:val="0095609A"/>
    <w:rsid w:val="00972F90"/>
    <w:rsid w:val="00981688"/>
    <w:rsid w:val="00990D82"/>
    <w:rsid w:val="00991528"/>
    <w:rsid w:val="009A5430"/>
    <w:rsid w:val="009B2110"/>
    <w:rsid w:val="009B3A87"/>
    <w:rsid w:val="009B5410"/>
    <w:rsid w:val="009B7AB5"/>
    <w:rsid w:val="009C0A4D"/>
    <w:rsid w:val="009C15C4"/>
    <w:rsid w:val="009E3843"/>
    <w:rsid w:val="009E727E"/>
    <w:rsid w:val="009F53F9"/>
    <w:rsid w:val="009F659E"/>
    <w:rsid w:val="00A05391"/>
    <w:rsid w:val="00A244E9"/>
    <w:rsid w:val="00A317A9"/>
    <w:rsid w:val="00A34984"/>
    <w:rsid w:val="00A41149"/>
    <w:rsid w:val="00A70A26"/>
    <w:rsid w:val="00A85E38"/>
    <w:rsid w:val="00AB4B77"/>
    <w:rsid w:val="00AB70F0"/>
    <w:rsid w:val="00AC2247"/>
    <w:rsid w:val="00AC3796"/>
    <w:rsid w:val="00AC759C"/>
    <w:rsid w:val="00AE08B4"/>
    <w:rsid w:val="00AE7157"/>
    <w:rsid w:val="00B16D95"/>
    <w:rsid w:val="00B20316"/>
    <w:rsid w:val="00B25DDC"/>
    <w:rsid w:val="00B30122"/>
    <w:rsid w:val="00B32333"/>
    <w:rsid w:val="00B34E3C"/>
    <w:rsid w:val="00B41C07"/>
    <w:rsid w:val="00B47C80"/>
    <w:rsid w:val="00B62597"/>
    <w:rsid w:val="00B63499"/>
    <w:rsid w:val="00B65975"/>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E451E"/>
    <w:rsid w:val="00CF2657"/>
    <w:rsid w:val="00D06EC8"/>
    <w:rsid w:val="00D136EA"/>
    <w:rsid w:val="00D251ED"/>
    <w:rsid w:val="00D268BA"/>
    <w:rsid w:val="00D325DE"/>
    <w:rsid w:val="00D33D30"/>
    <w:rsid w:val="00D42BD1"/>
    <w:rsid w:val="00D471E5"/>
    <w:rsid w:val="00D52AA1"/>
    <w:rsid w:val="00D53C88"/>
    <w:rsid w:val="00D55ABA"/>
    <w:rsid w:val="00D571C9"/>
    <w:rsid w:val="00D63695"/>
    <w:rsid w:val="00D821C4"/>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527"/>
    <w:rsid w:val="00EF34C4"/>
    <w:rsid w:val="00F01AF5"/>
    <w:rsid w:val="00F34E40"/>
    <w:rsid w:val="00F4190F"/>
    <w:rsid w:val="00F5077C"/>
    <w:rsid w:val="00F556C9"/>
    <w:rsid w:val="00F66863"/>
    <w:rsid w:val="00F85007"/>
    <w:rsid w:val="00F91F0F"/>
    <w:rsid w:val="00F954D7"/>
    <w:rsid w:val="00F95851"/>
    <w:rsid w:val="00F960CA"/>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semiHidden/>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semiHidden/>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B9BA-5100-4CB3-A95A-79C6E771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