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9556F" w:rsidRPr="007C343A" w:rsidP="00FC6991">
      <w:pPr>
        <w:pStyle w:val="Title"/>
        <w:spacing w:before="60" w:after="120"/>
        <w:rPr>
          <w:sz w:val="48"/>
        </w:rPr>
      </w:pPr>
      <w:bookmarkStart w:id="0" w:name="_GoBack"/>
      <w:bookmarkEnd w:id="0"/>
      <w:r w:rsidRPr="007C343A">
        <w:rPr>
          <w:sz w:val="48"/>
        </w:rPr>
        <w:t>Agenda</w:t>
      </w:r>
    </w:p>
    <w:p w:rsidR="00C44690" w:rsidRPr="00637E06" w:rsidP="00D058D7">
      <w:pPr>
        <w:pStyle w:val="Heading2"/>
        <w:spacing w:line="320" w:lineRule="exact"/>
        <w:jc w:val="center"/>
        <w:rPr>
          <w:rFonts w:ascii="Arial" w:hAnsi="Arial" w:cs="Arial"/>
          <w:b w:val="0"/>
          <w:i w:val="0"/>
          <w:sz w:val="14"/>
          <w:szCs w:val="24"/>
        </w:rPr>
      </w:pPr>
      <w:r w:rsidRPr="007C343A">
        <w:rPr>
          <w:rFonts w:ascii="Arial" w:hAnsi="Arial" w:cs="Arial"/>
          <w:i w:val="0"/>
          <w:color w:val="000000" w:themeColor="text1"/>
          <w:sz w:val="24"/>
          <w:szCs w:val="24"/>
        </w:rPr>
        <w:t>PJM General Session</w:t>
      </w:r>
      <w:r w:rsidRPr="007C343A" w:rsidR="001255E5">
        <w:rPr>
          <w:rFonts w:ascii="Arial" w:hAnsi="Arial" w:cs="Arial"/>
          <w:color w:val="000000" w:themeColor="text1"/>
          <w:sz w:val="24"/>
          <w:szCs w:val="24"/>
        </w:rPr>
        <w:br/>
      </w:r>
      <w:r w:rsidR="00FB3293">
        <w:rPr>
          <w:rFonts w:ascii="Arial" w:hAnsi="Arial" w:cs="Arial"/>
          <w:sz w:val="24"/>
          <w:szCs w:val="24"/>
        </w:rPr>
        <w:t xml:space="preserve">The Energy </w:t>
      </w:r>
      <w:r w:rsidR="006023DC">
        <w:rPr>
          <w:rFonts w:ascii="Arial" w:hAnsi="Arial" w:cs="Arial"/>
          <w:sz w:val="24"/>
          <w:szCs w:val="24"/>
        </w:rPr>
        <w:t>Evolution</w:t>
      </w:r>
      <w:r w:rsidR="00FB3293">
        <w:rPr>
          <w:rFonts w:ascii="Arial" w:hAnsi="Arial" w:cs="Arial"/>
          <w:sz w:val="24"/>
          <w:szCs w:val="24"/>
        </w:rPr>
        <w:t xml:space="preserve"> – a Deeper Dive</w:t>
      </w:r>
    </w:p>
    <w:p w:rsidR="00F32A71" w:rsidRPr="00285852" w:rsidP="00285852">
      <w:pPr>
        <w:spacing w:line="240" w:lineRule="auto"/>
        <w:jc w:val="center"/>
        <w:rPr>
          <w:rStyle w:val="Strong"/>
          <w:rFonts w:cs="Arial"/>
          <w:b w:val="0"/>
          <w:sz w:val="20"/>
          <w:szCs w:val="24"/>
        </w:rPr>
      </w:pPr>
      <w:r>
        <w:rPr>
          <w:rStyle w:val="Strong"/>
          <w:rFonts w:cs="Arial"/>
          <w:b w:val="0"/>
          <w:sz w:val="20"/>
          <w:szCs w:val="24"/>
        </w:rPr>
        <w:t>Lansdowne Resort</w:t>
      </w:r>
      <w:r w:rsidR="00DC5816">
        <w:rPr>
          <w:rStyle w:val="Strong"/>
          <w:rFonts w:cs="Arial"/>
          <w:b w:val="0"/>
          <w:sz w:val="20"/>
          <w:szCs w:val="24"/>
        </w:rPr>
        <w:t xml:space="preserve">, </w:t>
      </w:r>
      <w:r>
        <w:rPr>
          <w:rStyle w:val="Strong"/>
          <w:rFonts w:cs="Arial"/>
          <w:b w:val="0"/>
          <w:sz w:val="20"/>
          <w:szCs w:val="24"/>
        </w:rPr>
        <w:t>Leesburg, VA</w:t>
      </w:r>
    </w:p>
    <w:p w:rsidR="00F32A71" w:rsidRPr="00285852" w:rsidP="00285852">
      <w:pPr>
        <w:spacing w:line="240" w:lineRule="auto"/>
        <w:jc w:val="center"/>
        <w:rPr>
          <w:rFonts w:ascii="Arial" w:hAnsi="Arial" w:cs="Arial"/>
          <w:color w:val="000000" w:themeColor="text1"/>
          <w:sz w:val="20"/>
          <w:szCs w:val="24"/>
        </w:rPr>
      </w:pPr>
      <w:r>
        <w:rPr>
          <w:rFonts w:ascii="Arial" w:hAnsi="Arial" w:cs="Arial"/>
          <w:color w:val="000000" w:themeColor="text1"/>
          <w:sz w:val="20"/>
          <w:szCs w:val="24"/>
        </w:rPr>
        <w:t xml:space="preserve">May </w:t>
      </w:r>
      <w:r w:rsidR="001742D2">
        <w:rPr>
          <w:rFonts w:ascii="Arial" w:hAnsi="Arial" w:cs="Arial"/>
          <w:color w:val="000000" w:themeColor="text1"/>
          <w:sz w:val="20"/>
          <w:szCs w:val="24"/>
        </w:rPr>
        <w:t>13</w:t>
      </w:r>
      <w:r w:rsidRPr="00285852">
        <w:rPr>
          <w:rFonts w:ascii="Arial" w:hAnsi="Arial" w:cs="Arial"/>
          <w:color w:val="000000" w:themeColor="text1"/>
          <w:sz w:val="20"/>
          <w:szCs w:val="24"/>
        </w:rPr>
        <w:t>, 202</w:t>
      </w:r>
      <w:r>
        <w:rPr>
          <w:rFonts w:ascii="Arial" w:hAnsi="Arial" w:cs="Arial"/>
          <w:color w:val="000000" w:themeColor="text1"/>
          <w:sz w:val="20"/>
          <w:szCs w:val="24"/>
        </w:rPr>
        <w:t>4</w:t>
      </w:r>
      <w:r w:rsidRPr="00285852">
        <w:rPr>
          <w:rFonts w:ascii="Arial" w:hAnsi="Arial" w:cs="Arial"/>
          <w:color w:val="000000" w:themeColor="text1"/>
          <w:sz w:val="20"/>
          <w:szCs w:val="24"/>
        </w:rPr>
        <w:t xml:space="preserve"> | </w:t>
      </w:r>
      <w:r w:rsidR="00DE44B2">
        <w:rPr>
          <w:rFonts w:ascii="Arial" w:hAnsi="Arial" w:cs="Arial"/>
          <w:color w:val="000000" w:themeColor="text1"/>
          <w:sz w:val="20"/>
          <w:szCs w:val="24"/>
        </w:rPr>
        <w:t>8:30</w:t>
      </w:r>
      <w:r w:rsidRPr="00285852">
        <w:rPr>
          <w:rFonts w:ascii="Arial" w:hAnsi="Arial" w:cs="Arial"/>
          <w:color w:val="000000" w:themeColor="text1"/>
          <w:sz w:val="20"/>
          <w:szCs w:val="24"/>
        </w:rPr>
        <w:t xml:space="preserve"> </w:t>
      </w:r>
      <w:r w:rsidRPr="00285852" w:rsidR="00970DC3">
        <w:rPr>
          <w:rFonts w:ascii="Arial" w:hAnsi="Arial" w:cs="Arial"/>
          <w:color w:val="000000" w:themeColor="text1"/>
          <w:sz w:val="20"/>
          <w:szCs w:val="24"/>
        </w:rPr>
        <w:t xml:space="preserve">a.m. </w:t>
      </w:r>
      <w:r w:rsidRPr="00285852">
        <w:rPr>
          <w:rFonts w:ascii="Arial" w:hAnsi="Arial" w:cs="Arial"/>
          <w:color w:val="000000" w:themeColor="text1"/>
          <w:sz w:val="20"/>
          <w:szCs w:val="24"/>
        </w:rPr>
        <w:t xml:space="preserve">– </w:t>
      </w:r>
      <w:r w:rsidR="00AD5DCA">
        <w:rPr>
          <w:rFonts w:ascii="Arial" w:hAnsi="Arial" w:cs="Arial"/>
          <w:color w:val="000000" w:themeColor="text1"/>
          <w:sz w:val="20"/>
          <w:szCs w:val="24"/>
        </w:rPr>
        <w:t>11:30 a.m.</w:t>
      </w:r>
      <w:r w:rsidRPr="00285852">
        <w:rPr>
          <w:rFonts w:ascii="Arial" w:hAnsi="Arial" w:cs="Arial"/>
          <w:color w:val="000000" w:themeColor="text1"/>
          <w:sz w:val="20"/>
          <w:szCs w:val="24"/>
        </w:rPr>
        <w:t xml:space="preserve"> (</w:t>
      </w:r>
      <w:r w:rsidR="00891346">
        <w:rPr>
          <w:rFonts w:ascii="Arial" w:hAnsi="Arial" w:cs="Arial"/>
          <w:color w:val="000000" w:themeColor="text1"/>
          <w:sz w:val="20"/>
          <w:szCs w:val="24"/>
        </w:rPr>
        <w:t>Eastern</w:t>
      </w:r>
      <w:r w:rsidRPr="00285852">
        <w:rPr>
          <w:rFonts w:ascii="Arial" w:hAnsi="Arial" w:cs="Arial"/>
          <w:color w:val="000000" w:themeColor="text1"/>
          <w:sz w:val="20"/>
          <w:szCs w:val="24"/>
        </w:rPr>
        <w:t>)</w:t>
      </w:r>
    </w:p>
    <w:p w:rsidR="00A5405D" w:rsidRPr="00637E06" w:rsidP="001900AC">
      <w:pPr>
        <w:spacing w:line="240" w:lineRule="auto"/>
        <w:jc w:val="center"/>
        <w:rPr>
          <w:rFonts w:ascii="Arial" w:hAnsi="Arial" w:cs="Arial"/>
          <w:color w:val="000000" w:themeColor="text1"/>
          <w:sz w:val="14"/>
          <w:szCs w:val="24"/>
        </w:rPr>
      </w:pPr>
    </w:p>
    <w:tbl>
      <w:tblPr>
        <w:tblW w:w="10175" w:type="dxa"/>
        <w:tblInd w:w="-365" w:type="dxa"/>
        <w:tblCellMar>
          <w:top w:w="86" w:type="dxa"/>
          <w:left w:w="115" w:type="dxa"/>
          <w:bottom w:w="43" w:type="dxa"/>
          <w:right w:w="115" w:type="dxa"/>
        </w:tblCellMar>
        <w:tblLook w:val="04A0"/>
      </w:tblPr>
      <w:tblGrid>
        <w:gridCol w:w="818"/>
        <w:gridCol w:w="9357"/>
      </w:tblGrid>
      <w:tr w:rsidTr="003E0317">
        <w:tblPrEx>
          <w:tblW w:w="10175" w:type="dxa"/>
          <w:tblInd w:w="-365" w:type="dxa"/>
          <w:tblCellMar>
            <w:top w:w="86" w:type="dxa"/>
            <w:left w:w="115" w:type="dxa"/>
            <w:bottom w:w="43" w:type="dxa"/>
            <w:right w:w="115" w:type="dxa"/>
          </w:tblCellMar>
          <w:tblLook w:val="04A0"/>
        </w:tblPrEx>
        <w:trPr>
          <w:trHeight w:val="679"/>
        </w:trPr>
        <w:tc>
          <w:tcPr>
            <w:tcW w:w="818" w:type="dxa"/>
            <w:tcBorders>
              <w:bottom w:val="single" w:sz="4" w:space="0" w:color="auto"/>
            </w:tcBorders>
            <w:shd w:val="clear" w:color="auto" w:fill="CAEDFE"/>
          </w:tcPr>
          <w:p w:rsidR="00FC6991" w:rsidRPr="009503ED" w:rsidP="00B01683">
            <w:pPr>
              <w:pStyle w:val="Time"/>
              <w:rPr>
                <w:sz w:val="22"/>
                <w:szCs w:val="24"/>
                <w:shd w:val="clear" w:color="auto" w:fill="FFFFFF"/>
              </w:rPr>
            </w:pPr>
            <w:r>
              <w:rPr>
                <w:sz w:val="24"/>
              </w:rPr>
              <w:t>8:30</w:t>
            </w:r>
            <w:r w:rsidRPr="009503ED">
              <w:rPr>
                <w:sz w:val="24"/>
              </w:rPr>
              <w:t xml:space="preserve"> </w:t>
            </w:r>
            <w:r w:rsidRPr="009503ED" w:rsidR="00B01683">
              <w:rPr>
                <w:sz w:val="20"/>
              </w:rPr>
              <w:t>a</w:t>
            </w:r>
            <w:r w:rsidRPr="009503ED">
              <w:rPr>
                <w:sz w:val="20"/>
              </w:rPr>
              <w:t>.m.</w:t>
            </w:r>
          </w:p>
        </w:tc>
        <w:tc>
          <w:tcPr>
            <w:tcW w:w="9357" w:type="dxa"/>
            <w:tcBorders>
              <w:bottom w:val="single" w:sz="4" w:space="0" w:color="auto"/>
            </w:tcBorders>
            <w:shd w:val="clear" w:color="auto" w:fill="CAEDFE"/>
          </w:tcPr>
          <w:p w:rsidR="00FC6991" w:rsidRPr="009503ED" w:rsidP="002A5D27">
            <w:pPr>
              <w:pStyle w:val="Tablesubtitle"/>
              <w:rPr>
                <w:sz w:val="28"/>
              </w:rPr>
            </w:pPr>
            <w:r w:rsidRPr="009503ED">
              <w:rPr>
                <w:sz w:val="28"/>
              </w:rPr>
              <w:t>Welcome</w:t>
            </w:r>
          </w:p>
          <w:p w:rsidR="00FC6991" w:rsidRPr="009503ED" w:rsidP="00C44690">
            <w:pPr>
              <w:spacing w:after="0" w:line="240" w:lineRule="auto"/>
              <w:rPr>
                <w:szCs w:val="24"/>
                <w:shd w:val="clear" w:color="auto" w:fill="FFFFFF"/>
              </w:rPr>
            </w:pPr>
            <w:r>
              <w:rPr>
                <w:rStyle w:val="SubtleEmphasis"/>
              </w:rPr>
              <w:t>Lynn Horning</w:t>
            </w:r>
            <w:r w:rsidRPr="00587901">
              <w:rPr>
                <w:rStyle w:val="SubtleEmphasis"/>
              </w:rPr>
              <w:t>,</w:t>
            </w:r>
            <w:r w:rsidRPr="00587901">
              <w:rPr>
                <w:color w:val="00B0F0" w:themeColor="accent3"/>
              </w:rPr>
              <w:t xml:space="preserve"> </w:t>
            </w:r>
            <w:r w:rsidRPr="00587901" w:rsidR="00C44690">
              <w:t>Chair, Members Committee</w:t>
            </w:r>
          </w:p>
        </w:tc>
      </w:tr>
      <w:tr w:rsidTr="003E0317">
        <w:tblPrEx>
          <w:tblW w:w="10175" w:type="dxa"/>
          <w:tblInd w:w="-365" w:type="dxa"/>
          <w:tblCellMar>
            <w:top w:w="86" w:type="dxa"/>
            <w:left w:w="115" w:type="dxa"/>
            <w:bottom w:w="43" w:type="dxa"/>
            <w:right w:w="115" w:type="dxa"/>
          </w:tblCellMar>
          <w:tblLook w:val="04A0"/>
        </w:tblPrEx>
        <w:trPr>
          <w:trHeight w:val="669"/>
        </w:trPr>
        <w:tc>
          <w:tcPr>
            <w:tcW w:w="818" w:type="dxa"/>
            <w:tcBorders>
              <w:top w:val="single" w:sz="4" w:space="0" w:color="auto"/>
              <w:bottom w:val="single" w:sz="4" w:space="0" w:color="auto"/>
            </w:tcBorders>
            <w:shd w:val="clear" w:color="auto" w:fill="auto"/>
          </w:tcPr>
          <w:p w:rsidR="00DE44B2" w:rsidP="00DE44B2">
            <w:pPr>
              <w:pStyle w:val="Time"/>
              <w:rPr>
                <w:sz w:val="24"/>
              </w:rPr>
            </w:pPr>
            <w:r>
              <w:rPr>
                <w:sz w:val="24"/>
              </w:rPr>
              <w:t>8:3</w:t>
            </w:r>
            <w:r w:rsidR="006B2D86">
              <w:rPr>
                <w:sz w:val="24"/>
              </w:rPr>
              <w:t>5</w:t>
            </w:r>
          </w:p>
          <w:p w:rsidR="00FC6991" w:rsidRPr="009503ED" w:rsidP="00DE44B2">
            <w:pPr>
              <w:pStyle w:val="Time"/>
              <w:rPr>
                <w:sz w:val="22"/>
                <w:szCs w:val="24"/>
                <w:shd w:val="clear" w:color="auto" w:fill="FFFFFF"/>
              </w:rPr>
            </w:pPr>
            <w:r w:rsidRPr="00DE44B2">
              <w:rPr>
                <w:sz w:val="20"/>
              </w:rPr>
              <w:t>a.m.</w:t>
            </w:r>
          </w:p>
        </w:tc>
        <w:tc>
          <w:tcPr>
            <w:tcW w:w="9357" w:type="dxa"/>
            <w:tcBorders>
              <w:top w:val="single" w:sz="4" w:space="0" w:color="auto"/>
              <w:bottom w:val="single" w:sz="4" w:space="0" w:color="auto"/>
            </w:tcBorders>
            <w:shd w:val="clear" w:color="auto" w:fill="auto"/>
          </w:tcPr>
          <w:p w:rsidR="00FC6991" w:rsidRPr="009503ED" w:rsidP="002A5D27">
            <w:pPr>
              <w:pStyle w:val="Tablesubtitle"/>
              <w:rPr>
                <w:sz w:val="28"/>
              </w:rPr>
            </w:pPr>
            <w:r>
              <w:rPr>
                <w:sz w:val="28"/>
              </w:rPr>
              <w:t>Setting the Stage</w:t>
            </w:r>
          </w:p>
          <w:p w:rsidR="00FC6991" w:rsidRPr="009503ED" w:rsidP="00C44690">
            <w:pPr>
              <w:spacing w:after="0" w:line="240" w:lineRule="auto"/>
              <w:rPr>
                <w:szCs w:val="24"/>
                <w:shd w:val="clear" w:color="auto" w:fill="FFFFFF"/>
              </w:rPr>
            </w:pPr>
            <w:r>
              <w:rPr>
                <w:rStyle w:val="SubtleEmphasis"/>
              </w:rPr>
              <w:t>Stu Bresler</w:t>
            </w:r>
            <w:r w:rsidRPr="00587901">
              <w:rPr>
                <w:rStyle w:val="SubtleEmphasis"/>
              </w:rPr>
              <w:t>,</w:t>
            </w:r>
            <w:r w:rsidRPr="00587901">
              <w:rPr>
                <w:b/>
              </w:rPr>
              <w:t xml:space="preserve"> </w:t>
            </w:r>
            <w:r>
              <w:t xml:space="preserve">Executive VP, Market </w:t>
            </w:r>
            <w:r w:rsidRPr="00FE3DD4" w:rsidR="00FE3DD4">
              <w:t>and Strategy</w:t>
            </w:r>
            <w:r>
              <w:t>, PJM Interconnection</w:t>
            </w:r>
          </w:p>
        </w:tc>
      </w:tr>
      <w:tr w:rsidTr="00257043">
        <w:tblPrEx>
          <w:tblW w:w="10175" w:type="dxa"/>
          <w:tblInd w:w="-365" w:type="dxa"/>
          <w:tblCellMar>
            <w:top w:w="86" w:type="dxa"/>
            <w:left w:w="115" w:type="dxa"/>
            <w:bottom w:w="43" w:type="dxa"/>
            <w:right w:w="115" w:type="dxa"/>
          </w:tblCellMar>
          <w:tblLook w:val="04A0"/>
        </w:tblPrEx>
        <w:trPr>
          <w:trHeight w:val="939"/>
        </w:trPr>
        <w:tc>
          <w:tcPr>
            <w:tcW w:w="818" w:type="dxa"/>
            <w:tcBorders>
              <w:top w:val="single" w:sz="4" w:space="0" w:color="auto"/>
              <w:bottom w:val="single" w:sz="4" w:space="0" w:color="auto"/>
            </w:tcBorders>
            <w:shd w:val="clear" w:color="auto" w:fill="C9F0FE" w:themeFill="accent3" w:themeFillTint="33"/>
          </w:tcPr>
          <w:p w:rsidR="006B2D86" w:rsidRPr="009503ED" w:rsidP="00953524">
            <w:pPr>
              <w:pStyle w:val="Time"/>
              <w:rPr>
                <w:sz w:val="24"/>
              </w:rPr>
            </w:pPr>
            <w:r>
              <w:rPr>
                <w:sz w:val="24"/>
              </w:rPr>
              <w:t>8:</w:t>
            </w:r>
            <w:r w:rsidR="00953524">
              <w:rPr>
                <w:sz w:val="24"/>
              </w:rPr>
              <w:t>45</w:t>
            </w:r>
            <w:r w:rsidRPr="009503ED" w:rsidR="001F34D6">
              <w:rPr>
                <w:sz w:val="24"/>
              </w:rPr>
              <w:t xml:space="preserve"> </w:t>
            </w:r>
            <w:r w:rsidRPr="009503ED" w:rsidR="001F34D6">
              <w:rPr>
                <w:sz w:val="20"/>
              </w:rPr>
              <w:t>a.m.</w:t>
            </w:r>
          </w:p>
        </w:tc>
        <w:tc>
          <w:tcPr>
            <w:tcW w:w="9357" w:type="dxa"/>
            <w:tcBorders>
              <w:top w:val="single" w:sz="4" w:space="0" w:color="auto"/>
              <w:bottom w:val="single" w:sz="4" w:space="0" w:color="auto"/>
            </w:tcBorders>
            <w:shd w:val="clear" w:color="auto" w:fill="C9F0FE" w:themeFill="accent3" w:themeFillTint="33"/>
          </w:tcPr>
          <w:p w:rsidR="006B2D86" w:rsidRPr="009503ED" w:rsidP="00C80D13">
            <w:pPr>
              <w:pStyle w:val="Tablesubtitle"/>
              <w:rPr>
                <w:sz w:val="28"/>
              </w:rPr>
            </w:pPr>
            <w:r w:rsidRPr="00257043">
              <w:t>Panel 1</w:t>
            </w:r>
            <w:r w:rsidRPr="009503ED">
              <w:rPr>
                <w:sz w:val="28"/>
              </w:rPr>
              <w:t xml:space="preserve"> </w:t>
            </w:r>
            <w:r>
              <w:rPr>
                <w:sz w:val="28"/>
              </w:rPr>
              <w:t xml:space="preserve">– </w:t>
            </w:r>
            <w:r w:rsidRPr="00C403AF" w:rsidR="00C403AF">
              <w:t>Large Load Additions and Load Growth</w:t>
            </w:r>
          </w:p>
          <w:p w:rsidR="006B2D86" w:rsidRPr="00587901" w:rsidP="00C80D13">
            <w:pPr>
              <w:ind w:left="1230" w:hanging="1230"/>
              <w:rPr>
                <w:rStyle w:val="Strong"/>
              </w:rPr>
            </w:pPr>
            <w:r w:rsidRPr="00587901">
              <w:rPr>
                <w:rStyle w:val="Strong"/>
              </w:rPr>
              <w:t>Moderator</w:t>
            </w:r>
            <w:r w:rsidRPr="00587901">
              <w:rPr>
                <w:rStyle w:val="Strong"/>
                <w:iCs/>
              </w:rPr>
              <w:t xml:space="preserve"> – </w:t>
            </w:r>
            <w:r w:rsidR="00257043">
              <w:rPr>
                <w:rStyle w:val="SubtleEmphasis"/>
              </w:rPr>
              <w:t>Stu Bresler</w:t>
            </w:r>
            <w:r w:rsidRPr="00587901">
              <w:rPr>
                <w:rStyle w:val="SubtleEmphasis"/>
              </w:rPr>
              <w:t>,</w:t>
            </w:r>
            <w:r w:rsidRPr="00587901">
              <w:rPr>
                <w:b/>
              </w:rPr>
              <w:t xml:space="preserve"> </w:t>
            </w:r>
            <w:r w:rsidR="00257043">
              <w:t xml:space="preserve">Executive VP, Market </w:t>
            </w:r>
            <w:r w:rsidRPr="00FE3DD4" w:rsidR="00FE3DD4">
              <w:t>and Strategy</w:t>
            </w:r>
            <w:r w:rsidR="00257043">
              <w:t xml:space="preserve">, </w:t>
            </w:r>
            <w:r w:rsidR="00C21694">
              <w:t>PJM I</w:t>
            </w:r>
            <w:r w:rsidR="00257043">
              <w:t>nterconnection</w:t>
            </w:r>
          </w:p>
          <w:p w:rsidR="008F56A4" w:rsidP="008F56A4">
            <w:pPr>
              <w:ind w:left="1050" w:hanging="1074"/>
            </w:pPr>
            <w:r w:rsidRPr="00587901">
              <w:rPr>
                <w:rStyle w:val="Strong"/>
              </w:rPr>
              <w:t>Panelists</w:t>
            </w:r>
            <w:r w:rsidRPr="00587901">
              <w:t xml:space="preserve"> </w:t>
            </w:r>
            <w:r w:rsidRPr="00587901">
              <w:rPr>
                <w:rStyle w:val="Strong"/>
              </w:rPr>
              <w:t>–</w:t>
            </w:r>
            <w:r w:rsidRPr="00587901">
              <w:t xml:space="preserve"> </w:t>
            </w:r>
            <w:r w:rsidRPr="00962451" w:rsidR="00E47890">
              <w:rPr>
                <w:rStyle w:val="SubtleEmphasis"/>
              </w:rPr>
              <w:t>Brian George</w:t>
            </w:r>
            <w:r w:rsidR="00E47890">
              <w:t xml:space="preserve">, </w:t>
            </w:r>
            <w:r w:rsidR="00A70C62">
              <w:t xml:space="preserve">Global Energy Market Development &amp; Policy, </w:t>
            </w:r>
            <w:r w:rsidR="00E47890">
              <w:t>Google</w:t>
            </w:r>
          </w:p>
          <w:p w:rsidR="00E47890" w:rsidP="00962451">
            <w:pPr>
              <w:ind w:left="1140"/>
            </w:pPr>
            <w:r w:rsidRPr="00962451">
              <w:rPr>
                <w:rStyle w:val="SubtleEmphasis"/>
              </w:rPr>
              <w:t>Dan Thompson</w:t>
            </w:r>
            <w:r>
              <w:t xml:space="preserve">, </w:t>
            </w:r>
            <w:r w:rsidR="00C21694">
              <w:t xml:space="preserve">Principal Research Analyst, </w:t>
            </w:r>
            <w:r>
              <w:t>S&amp;P Global 451 Solutions Research</w:t>
            </w:r>
          </w:p>
          <w:p w:rsidR="00E47890" w:rsidP="00962451">
            <w:pPr>
              <w:ind w:left="1140"/>
            </w:pPr>
            <w:r w:rsidRPr="00962451">
              <w:rPr>
                <w:rStyle w:val="SubtleEmphasis"/>
              </w:rPr>
              <w:t>Kevin Hughes</w:t>
            </w:r>
            <w:r>
              <w:t>,</w:t>
            </w:r>
            <w:r w:rsidR="00C21694">
              <w:t xml:space="preserve"> Senior VP, Public Affairs,</w:t>
            </w:r>
            <w:r>
              <w:t xml:space="preserve"> Stack Infrastructure</w:t>
            </w:r>
          </w:p>
          <w:p w:rsidR="00E47890" w:rsidRPr="008F56A4" w:rsidP="00962451">
            <w:pPr>
              <w:ind w:left="1140"/>
              <w:rPr>
                <w:rFonts w:ascii="Arial" w:hAnsi="Arial"/>
                <w:b/>
                <w:iCs/>
                <w:color w:val="00B0F0" w:themeColor="accent3"/>
              </w:rPr>
            </w:pPr>
            <w:r w:rsidRPr="00962451">
              <w:rPr>
                <w:rStyle w:val="SubtleEmphasis"/>
              </w:rPr>
              <w:t>Mark Lauby</w:t>
            </w:r>
            <w:r>
              <w:t xml:space="preserve">, SVP </w:t>
            </w:r>
            <w:r w:rsidR="00C21694">
              <w:t xml:space="preserve">&amp; Chief Engineer, </w:t>
            </w:r>
            <w:r>
              <w:t>NERC</w:t>
            </w:r>
          </w:p>
        </w:tc>
      </w:tr>
      <w:tr w:rsidTr="00257043">
        <w:tblPrEx>
          <w:tblW w:w="10175" w:type="dxa"/>
          <w:tblInd w:w="-365" w:type="dxa"/>
          <w:tblCellMar>
            <w:top w:w="86" w:type="dxa"/>
            <w:left w:w="115" w:type="dxa"/>
            <w:bottom w:w="43" w:type="dxa"/>
            <w:right w:w="115" w:type="dxa"/>
          </w:tblCellMar>
          <w:tblLook w:val="04A0"/>
        </w:tblPrEx>
        <w:trPr>
          <w:trHeight w:val="922"/>
        </w:trPr>
        <w:tc>
          <w:tcPr>
            <w:tcW w:w="818" w:type="dxa"/>
            <w:tcBorders>
              <w:top w:val="single" w:sz="4" w:space="0" w:color="auto"/>
              <w:bottom w:val="single" w:sz="4" w:space="0" w:color="auto"/>
            </w:tcBorders>
            <w:shd w:val="clear" w:color="auto" w:fill="auto"/>
          </w:tcPr>
          <w:p w:rsidR="00C44690" w:rsidRPr="009503ED" w:rsidP="00953524">
            <w:pPr>
              <w:pStyle w:val="Time"/>
              <w:rPr>
                <w:sz w:val="24"/>
              </w:rPr>
            </w:pPr>
            <w:r>
              <w:rPr>
                <w:sz w:val="24"/>
              </w:rPr>
              <w:t>10:</w:t>
            </w:r>
            <w:r w:rsidR="00953524">
              <w:rPr>
                <w:sz w:val="24"/>
              </w:rPr>
              <w:t>05</w:t>
            </w:r>
            <w:r w:rsidRPr="009503ED">
              <w:rPr>
                <w:sz w:val="24"/>
              </w:rPr>
              <w:t xml:space="preserve"> </w:t>
            </w:r>
            <w:r w:rsidRPr="009503ED" w:rsidR="00B01683">
              <w:rPr>
                <w:sz w:val="20"/>
              </w:rPr>
              <w:t>a</w:t>
            </w:r>
            <w:r w:rsidRPr="009503ED">
              <w:rPr>
                <w:sz w:val="20"/>
              </w:rPr>
              <w:t>.m.</w:t>
            </w:r>
          </w:p>
        </w:tc>
        <w:tc>
          <w:tcPr>
            <w:tcW w:w="9357" w:type="dxa"/>
            <w:tcBorders>
              <w:top w:val="single" w:sz="4" w:space="0" w:color="auto"/>
              <w:bottom w:val="single" w:sz="4" w:space="0" w:color="auto"/>
            </w:tcBorders>
            <w:shd w:val="clear" w:color="auto" w:fill="auto"/>
          </w:tcPr>
          <w:p w:rsidR="00C44690" w:rsidRPr="00257043" w:rsidP="00C44690">
            <w:pPr>
              <w:pStyle w:val="Tablesubtitle"/>
            </w:pPr>
            <w:r w:rsidRPr="00257043">
              <w:t xml:space="preserve">Panel </w:t>
            </w:r>
            <w:r w:rsidRPr="00257043" w:rsidR="006B2D86">
              <w:t>2</w:t>
            </w:r>
            <w:r w:rsidRPr="00257043">
              <w:t xml:space="preserve"> </w:t>
            </w:r>
            <w:r w:rsidRPr="00257043" w:rsidR="0013349C">
              <w:t xml:space="preserve">– </w:t>
            </w:r>
            <w:r w:rsidR="00C403AF">
              <w:t xml:space="preserve">Challenges </w:t>
            </w:r>
            <w:r w:rsidR="00257043">
              <w:t>in B</w:t>
            </w:r>
            <w:r w:rsidRPr="00C403AF" w:rsidR="00C403AF">
              <w:t>uild</w:t>
            </w:r>
            <w:r w:rsidR="00C403AF">
              <w:t>ing</w:t>
            </w:r>
            <w:r w:rsidRPr="00C403AF" w:rsidR="00C403AF">
              <w:t xml:space="preserve"> </w:t>
            </w:r>
            <w:r w:rsidR="00257043">
              <w:t>N</w:t>
            </w:r>
            <w:r w:rsidRPr="00C403AF" w:rsidR="00C403AF">
              <w:t xml:space="preserve">ew </w:t>
            </w:r>
            <w:r w:rsidR="00257043">
              <w:t>S</w:t>
            </w:r>
            <w:r w:rsidRPr="00C403AF" w:rsidR="00C403AF">
              <w:t xml:space="preserve">upply </w:t>
            </w:r>
            <w:r w:rsidR="00257043">
              <w:t>R</w:t>
            </w:r>
            <w:r w:rsidRPr="00C403AF" w:rsidR="00C403AF">
              <w:t xml:space="preserve">esources to </w:t>
            </w:r>
            <w:r w:rsidR="00257043">
              <w:t>M</w:t>
            </w:r>
            <w:r w:rsidRPr="00C403AF" w:rsidR="00C403AF">
              <w:t xml:space="preserve">eet </w:t>
            </w:r>
            <w:r w:rsidR="00257043">
              <w:t>L</w:t>
            </w:r>
            <w:r w:rsidRPr="00C403AF" w:rsidR="00C403AF">
              <w:t xml:space="preserve">oad </w:t>
            </w:r>
            <w:r w:rsidR="00257043">
              <w:t>G</w:t>
            </w:r>
            <w:r w:rsidRPr="00C403AF" w:rsidR="00C403AF">
              <w:t xml:space="preserve">rowth and </w:t>
            </w:r>
            <w:r w:rsidR="00257043">
              <w:t>R</w:t>
            </w:r>
            <w:r w:rsidRPr="00C403AF" w:rsidR="00C403AF">
              <w:t xml:space="preserve">esource </w:t>
            </w:r>
            <w:r w:rsidR="00257043">
              <w:t>R</w:t>
            </w:r>
            <w:r w:rsidRPr="00C403AF" w:rsidR="00C403AF">
              <w:t>etirements</w:t>
            </w:r>
          </w:p>
          <w:p w:rsidR="00C44690" w:rsidRPr="00587901" w:rsidP="007C343A">
            <w:r w:rsidRPr="00587901">
              <w:rPr>
                <w:rStyle w:val="Strong"/>
              </w:rPr>
              <w:t>Moderator</w:t>
            </w:r>
            <w:r w:rsidRPr="00587901">
              <w:rPr>
                <w:rStyle w:val="Strong"/>
                <w:iCs/>
              </w:rPr>
              <w:t xml:space="preserve"> –</w:t>
            </w:r>
            <w:r w:rsidRPr="00587901">
              <w:rPr>
                <w:rStyle w:val="SubtleEmphasis"/>
              </w:rPr>
              <w:t xml:space="preserve"> </w:t>
            </w:r>
            <w:r w:rsidR="00257043">
              <w:rPr>
                <w:rStyle w:val="SubtleEmphasis"/>
              </w:rPr>
              <w:t>Becky Carroll</w:t>
            </w:r>
            <w:r w:rsidRPr="00587901" w:rsidR="001742D2">
              <w:rPr>
                <w:rStyle w:val="SubtleEmphasis"/>
              </w:rPr>
              <w:t xml:space="preserve">, </w:t>
            </w:r>
            <w:r w:rsidR="00257043">
              <w:t>Executive Director, Market Design, PJM Interconnection</w:t>
            </w:r>
          </w:p>
          <w:p w:rsidR="003822BB" w:rsidP="008F56A4">
            <w:pPr>
              <w:pStyle w:val="unorderedlist"/>
              <w:numPr>
                <w:ilvl w:val="0"/>
                <w:numId w:val="0"/>
              </w:numPr>
              <w:spacing w:before="120"/>
            </w:pPr>
            <w:r w:rsidRPr="00587901">
              <w:rPr>
                <w:rStyle w:val="Strong"/>
              </w:rPr>
              <w:t>Panelists</w:t>
            </w:r>
            <w:r w:rsidRPr="00587901">
              <w:t xml:space="preserve"> </w:t>
            </w:r>
            <w:r w:rsidRPr="00587901">
              <w:rPr>
                <w:rStyle w:val="Strong"/>
              </w:rPr>
              <w:t>–</w:t>
            </w:r>
            <w:r w:rsidRPr="00587901">
              <w:t xml:space="preserve"> </w:t>
            </w:r>
            <w:r w:rsidRPr="00962451" w:rsidR="00E47890">
              <w:rPr>
                <w:rStyle w:val="SubtleEmphasis"/>
                <w:rFonts w:eastAsia="Calibri" w:cs="Times New Roman"/>
              </w:rPr>
              <w:t>Matt Davis</w:t>
            </w:r>
            <w:r w:rsidR="00E47890">
              <w:t xml:space="preserve">, </w:t>
            </w:r>
            <w:r w:rsidR="00C21694">
              <w:t xml:space="preserve">VP, Regulatory, Policy &amp; Government Relations, </w:t>
            </w:r>
            <w:r w:rsidR="00E47890">
              <w:t>Capital Power</w:t>
            </w:r>
          </w:p>
          <w:p w:rsidR="00E47890" w:rsidP="00962451">
            <w:pPr>
              <w:pStyle w:val="unorderedlist"/>
              <w:numPr>
                <w:ilvl w:val="0"/>
                <w:numId w:val="0"/>
              </w:numPr>
              <w:spacing w:before="120"/>
              <w:ind w:left="1140"/>
            </w:pPr>
            <w:r>
              <w:rPr>
                <w:rStyle w:val="SubtleEmphasis"/>
                <w:rFonts w:eastAsia="Calibri" w:cs="Times New Roman"/>
              </w:rPr>
              <w:t xml:space="preserve"> </w:t>
            </w:r>
            <w:r w:rsidRPr="00962451">
              <w:rPr>
                <w:rStyle w:val="SubtleEmphasis"/>
                <w:rFonts w:eastAsia="Calibri" w:cs="Times New Roman"/>
              </w:rPr>
              <w:t>Harry Singh</w:t>
            </w:r>
            <w:r>
              <w:t xml:space="preserve">, </w:t>
            </w:r>
            <w:r w:rsidR="00C21694">
              <w:t xml:space="preserve">VP, </w:t>
            </w:r>
            <w:r>
              <w:t>Goldman Sachs</w:t>
            </w:r>
          </w:p>
          <w:p w:rsidR="00E47890" w:rsidRPr="000560B3" w:rsidP="000560B3">
            <w:pPr>
              <w:pStyle w:val="unorderedlist"/>
              <w:numPr>
                <w:ilvl w:val="0"/>
                <w:numId w:val="0"/>
              </w:numPr>
              <w:spacing w:before="120"/>
              <w:ind w:left="1140"/>
            </w:pPr>
            <w:r>
              <w:rPr>
                <w:rStyle w:val="SubtleEmphasis"/>
                <w:rFonts w:eastAsia="Calibri" w:cs="Times New Roman"/>
              </w:rPr>
              <w:t xml:space="preserve"> </w:t>
            </w:r>
            <w:r w:rsidRPr="00962451">
              <w:rPr>
                <w:rStyle w:val="SubtleEmphasis"/>
                <w:rFonts w:eastAsia="Calibri" w:cs="Times New Roman"/>
              </w:rPr>
              <w:t>Tom Freeman</w:t>
            </w:r>
            <w:r>
              <w:t>, GE Vernova</w:t>
            </w:r>
          </w:p>
        </w:tc>
      </w:tr>
      <w:tr w:rsidTr="00257043">
        <w:tblPrEx>
          <w:tblW w:w="10175" w:type="dxa"/>
          <w:tblInd w:w="-365" w:type="dxa"/>
          <w:tblCellMar>
            <w:top w:w="86" w:type="dxa"/>
            <w:left w:w="115" w:type="dxa"/>
            <w:bottom w:w="43" w:type="dxa"/>
            <w:right w:w="115" w:type="dxa"/>
          </w:tblCellMar>
          <w:tblLook w:val="04A0"/>
        </w:tblPrEx>
        <w:trPr>
          <w:trHeight w:val="714"/>
        </w:trPr>
        <w:tc>
          <w:tcPr>
            <w:tcW w:w="818" w:type="dxa"/>
            <w:tcBorders>
              <w:top w:val="single" w:sz="4" w:space="0" w:color="auto"/>
            </w:tcBorders>
            <w:shd w:val="clear" w:color="auto" w:fill="C9F0FE" w:themeFill="accent3" w:themeFillTint="33"/>
          </w:tcPr>
          <w:p w:rsidR="00FC6991" w:rsidRPr="009503ED" w:rsidP="006B2D86">
            <w:pPr>
              <w:pStyle w:val="Time"/>
              <w:rPr>
                <w:sz w:val="22"/>
                <w:szCs w:val="24"/>
                <w:shd w:val="clear" w:color="auto" w:fill="FFFFFF"/>
              </w:rPr>
            </w:pPr>
            <w:r w:rsidRPr="009503ED">
              <w:rPr>
                <w:sz w:val="24"/>
              </w:rPr>
              <w:t>11</w:t>
            </w:r>
            <w:r w:rsidRPr="009503ED" w:rsidR="007F2C0D">
              <w:rPr>
                <w:sz w:val="24"/>
              </w:rPr>
              <w:t>:</w:t>
            </w:r>
            <w:r w:rsidR="000560B3">
              <w:rPr>
                <w:sz w:val="24"/>
              </w:rPr>
              <w:t>2</w:t>
            </w:r>
            <w:r w:rsidR="006B2D86">
              <w:rPr>
                <w:sz w:val="24"/>
              </w:rPr>
              <w:t>5</w:t>
            </w:r>
            <w:r w:rsidRPr="009503ED">
              <w:rPr>
                <w:sz w:val="24"/>
              </w:rPr>
              <w:t xml:space="preserve"> </w:t>
            </w:r>
            <w:r w:rsidRPr="009503ED">
              <w:rPr>
                <w:sz w:val="20"/>
              </w:rPr>
              <w:t>a.m.</w:t>
            </w:r>
          </w:p>
        </w:tc>
        <w:tc>
          <w:tcPr>
            <w:tcW w:w="9357" w:type="dxa"/>
            <w:tcBorders>
              <w:top w:val="single" w:sz="4" w:space="0" w:color="auto"/>
            </w:tcBorders>
            <w:shd w:val="clear" w:color="auto" w:fill="C9F0FE" w:themeFill="accent3" w:themeFillTint="33"/>
          </w:tcPr>
          <w:p w:rsidR="00FC6991" w:rsidRPr="009503ED" w:rsidP="002A5D27">
            <w:pPr>
              <w:pStyle w:val="Tablesubtitle"/>
              <w:rPr>
                <w:sz w:val="28"/>
              </w:rPr>
            </w:pPr>
            <w:r w:rsidRPr="009503ED">
              <w:rPr>
                <w:sz w:val="28"/>
              </w:rPr>
              <w:t>Closing Remarks</w:t>
            </w:r>
          </w:p>
          <w:p w:rsidR="00FC6991" w:rsidP="007C343A">
            <w:pPr>
              <w:spacing w:after="0" w:line="240" w:lineRule="auto"/>
            </w:pPr>
            <w:r w:rsidRPr="00587901">
              <w:rPr>
                <w:rStyle w:val="SubtleEmphasis"/>
              </w:rPr>
              <w:t>Mark Takahashi,</w:t>
            </w:r>
            <w:r w:rsidRPr="00587901">
              <w:t xml:space="preserve"> </w:t>
            </w:r>
            <w:r w:rsidRPr="00587901" w:rsidR="001255E5">
              <w:t>Chair, PJM Board of Managers</w:t>
            </w:r>
          </w:p>
          <w:p w:rsidR="00C403AF" w:rsidRPr="009503ED" w:rsidP="007C343A">
            <w:pPr>
              <w:spacing w:after="0" w:line="240" w:lineRule="auto"/>
              <w:rPr>
                <w:szCs w:val="24"/>
                <w:shd w:val="clear" w:color="auto" w:fill="FFFFFF"/>
              </w:rPr>
            </w:pPr>
          </w:p>
        </w:tc>
      </w:tr>
    </w:tbl>
    <w:p w:rsidR="00F9556F" w:rsidRPr="009503ED" w:rsidP="00F9556F">
      <w:pPr>
        <w:spacing w:after="0" w:line="240" w:lineRule="auto"/>
        <w:rPr>
          <w:rFonts w:cs="Arial"/>
          <w:sz w:val="2"/>
        </w:rPr>
      </w:pPr>
    </w:p>
    <w:p w:rsidR="00FB3293">
      <w:pPr>
        <w:spacing w:after="200" w:line="276" w:lineRule="auto"/>
        <w:rPr>
          <w:rFonts w:eastAsia="Times New Roman"/>
          <w:b/>
          <w:sz w:val="14"/>
          <w:szCs w:val="10"/>
        </w:rPr>
      </w:pPr>
      <w:r>
        <w:rPr>
          <w:b/>
          <w:sz w:val="14"/>
          <w:szCs w:val="10"/>
        </w:rPr>
        <w:br w:type="page"/>
      </w:r>
    </w:p>
    <w:p w:rsidR="0016377C" w:rsidP="0016377C">
      <w:pPr>
        <w:pStyle w:val="Title"/>
        <w:spacing w:before="480"/>
        <w:rPr>
          <w:sz w:val="50"/>
          <w:szCs w:val="50"/>
        </w:rPr>
      </w:pPr>
      <w:r w:rsidRPr="00877924">
        <w:rPr>
          <w:sz w:val="50"/>
          <w:szCs w:val="50"/>
        </w:rPr>
        <w:t>The Energy Evolution – a Deeper Dive</w:t>
      </w:r>
    </w:p>
    <w:p w:rsidR="00097A43" w:rsidP="00097A43">
      <w:r>
        <w:t xml:space="preserve">For the </w:t>
      </w:r>
      <w:r w:rsidR="00FB3293">
        <w:t>several</w:t>
      </w:r>
      <w:r>
        <w:t xml:space="preserve"> years General Sessions have </w:t>
      </w:r>
      <w:r w:rsidR="00FB3293">
        <w:t>addressed</w:t>
      </w:r>
      <w:r>
        <w:t xml:space="preserve"> different aspects of the energy </w:t>
      </w:r>
      <w:r w:rsidR="003E7F0D">
        <w:t>evolution</w:t>
      </w:r>
      <w:r>
        <w:t xml:space="preserve">.  </w:t>
      </w:r>
      <w:r w:rsidR="00FB3293">
        <w:t>M</w:t>
      </w:r>
      <w:r>
        <w:t xml:space="preserve">aintaining focus on the </w:t>
      </w:r>
      <w:r w:rsidR="003E7F0D">
        <w:t xml:space="preserve">evolution </w:t>
      </w:r>
      <w:r>
        <w:t>is</w:t>
      </w:r>
      <w:r w:rsidR="00FB3293">
        <w:t xml:space="preserve"> essential</w:t>
      </w:r>
      <w:r>
        <w:t xml:space="preserve">, </w:t>
      </w:r>
      <w:r w:rsidR="00FB3293">
        <w:t>and this General</w:t>
      </w:r>
      <w:r w:rsidR="003E7F0D">
        <w:t xml:space="preserve"> Session</w:t>
      </w:r>
      <w:r w:rsidR="00FB3293">
        <w:t xml:space="preserve"> will address two aspects of the transition in more depth</w:t>
      </w:r>
      <w:r>
        <w:t xml:space="preserve">.  The following topics and format have been identified for the May </w:t>
      </w:r>
      <w:r w:rsidR="00FB3293">
        <w:t>13, 2025</w:t>
      </w:r>
      <w:r>
        <w:t xml:space="preserve"> Annual Meeting General Session.</w:t>
      </w:r>
    </w:p>
    <w:p w:rsidR="00FB3293" w:rsidP="00FB3293">
      <w:pPr>
        <w:pStyle w:val="Heading3"/>
      </w:pPr>
      <w:r>
        <w:t xml:space="preserve">Panel 1 – </w:t>
      </w:r>
      <w:r w:rsidRPr="00C403AF">
        <w:t>Large Load Additions and Load Gro</w:t>
      </w:r>
      <w:r>
        <w:t>wth</w:t>
      </w:r>
    </w:p>
    <w:p w:rsidR="009242A9" w:rsidRPr="00C865E4" w:rsidP="009242A9">
      <w:pPr>
        <w:spacing w:after="0" w:line="240" w:lineRule="auto"/>
      </w:pPr>
      <w:r w:rsidRPr="00C865E4">
        <w:t>Topics to address include</w:t>
      </w:r>
      <w:r w:rsidRPr="00C865E4" w:rsidR="00C865E4">
        <w:t>:</w:t>
      </w:r>
    </w:p>
    <w:p w:rsidR="00C865E4" w:rsidRPr="00C865E4" w:rsidP="00C865E4">
      <w:pPr>
        <w:pStyle w:val="ListParagraph"/>
        <w:numPr>
          <w:ilvl w:val="0"/>
          <w:numId w:val="13"/>
        </w:numPr>
      </w:pPr>
      <w:r w:rsidRPr="00C865E4">
        <w:t>A</w:t>
      </w:r>
      <w:r w:rsidR="00AE4360">
        <w:t xml:space="preserve">rtificial </w:t>
      </w:r>
      <w:r w:rsidRPr="00C865E4">
        <w:t>I</w:t>
      </w:r>
      <w:r w:rsidR="00AE4360">
        <w:t>ntelligence</w:t>
      </w:r>
      <w:r w:rsidRPr="00C865E4">
        <w:t xml:space="preserve"> – </w:t>
      </w:r>
      <w:r w:rsidR="00877924">
        <w:t xml:space="preserve">understanding </w:t>
      </w:r>
      <w:r w:rsidRPr="00C865E4">
        <w:t>its uses, how value is created, what drives revenues</w:t>
      </w:r>
      <w:r w:rsidR="00877924">
        <w:t>, energy use</w:t>
      </w:r>
      <w:r w:rsidRPr="00C865E4">
        <w:t xml:space="preserve"> </w:t>
      </w:r>
    </w:p>
    <w:p w:rsidR="00A60001" w:rsidP="00A60001">
      <w:pPr>
        <w:pStyle w:val="ListParagraph"/>
        <w:numPr>
          <w:ilvl w:val="0"/>
          <w:numId w:val="13"/>
        </w:numPr>
      </w:pPr>
      <w:r>
        <w:t>Load forecasting and large load addition – what are the drivers, and how real is it</w:t>
      </w:r>
      <w:r>
        <w:rPr>
          <w:color w:val="1F497D"/>
        </w:rPr>
        <w:t xml:space="preserve"> </w:t>
      </w:r>
      <w:r>
        <w:t>and considerations for double counting</w:t>
      </w:r>
      <w:r>
        <w:rPr>
          <w:color w:val="1F497D"/>
        </w:rPr>
        <w:t xml:space="preserve"> </w:t>
      </w:r>
    </w:p>
    <w:p w:rsidR="00C865E4" w:rsidRPr="00C865E4" w:rsidP="00C865E4">
      <w:pPr>
        <w:pStyle w:val="ListParagraph"/>
        <w:numPr>
          <w:ilvl w:val="0"/>
          <w:numId w:val="13"/>
        </w:numPr>
      </w:pPr>
      <w:r>
        <w:t>D</w:t>
      </w:r>
      <w:r w:rsidRPr="00C865E4" w:rsidR="009242A9">
        <w:t xml:space="preserve">ata center </w:t>
      </w:r>
      <w:r>
        <w:t>development,</w:t>
      </w:r>
      <w:r w:rsidRPr="00C865E4" w:rsidR="009242A9">
        <w:t xml:space="preserve"> how locations are chosen </w:t>
      </w:r>
      <w:r>
        <w:t xml:space="preserve">etc. </w:t>
      </w:r>
    </w:p>
    <w:p w:rsidR="00FB3293" w:rsidP="00C865E4">
      <w:pPr>
        <w:pStyle w:val="ListParagraph"/>
        <w:numPr>
          <w:ilvl w:val="0"/>
          <w:numId w:val="13"/>
        </w:numPr>
      </w:pPr>
      <w:r w:rsidRPr="00C865E4">
        <w:t xml:space="preserve">Potential </w:t>
      </w:r>
      <w:r w:rsidRPr="00C865E4" w:rsidR="009242A9">
        <w:t xml:space="preserve">reliability impacts of large </w:t>
      </w:r>
      <w:r w:rsidR="00AE4360">
        <w:t xml:space="preserve">single </w:t>
      </w:r>
      <w:r w:rsidRPr="00C865E4" w:rsidR="009242A9">
        <w:t>point loads – do we need new reliability standards?</w:t>
      </w:r>
      <w:r w:rsidR="00877924">
        <w:t xml:space="preserve"> </w:t>
      </w:r>
    </w:p>
    <w:p w:rsidR="00FB3293" w:rsidP="00FB3293">
      <w:pPr>
        <w:pStyle w:val="Heading3"/>
      </w:pPr>
      <w:r>
        <w:t xml:space="preserve">Panel 2 – </w:t>
      </w:r>
      <w:r>
        <w:t>Challenges of</w:t>
      </w:r>
      <w:r w:rsidRPr="00C403AF">
        <w:t xml:space="preserve"> build</w:t>
      </w:r>
      <w:r>
        <w:t>ing</w:t>
      </w:r>
      <w:r w:rsidRPr="00C403AF">
        <w:t xml:space="preserve"> new supply resources to meet load growth and resource retirements</w:t>
      </w:r>
    </w:p>
    <w:p w:rsidR="00C865E4" w:rsidRPr="00C865E4" w:rsidP="00097A43">
      <w:r w:rsidRPr="00C865E4">
        <w:t xml:space="preserve">Topics to address include: </w:t>
      </w:r>
    </w:p>
    <w:p w:rsidR="00C865E4" w:rsidRPr="00C865E4" w:rsidP="00C865E4">
      <w:pPr>
        <w:pStyle w:val="ListParagraph"/>
        <w:numPr>
          <w:ilvl w:val="0"/>
          <w:numId w:val="13"/>
        </w:numPr>
      </w:pPr>
      <w:r>
        <w:t>Generation resource development</w:t>
      </w:r>
      <w:r w:rsidR="00877924">
        <w:t xml:space="preserve">, business case, decision considerations </w:t>
      </w:r>
    </w:p>
    <w:p w:rsidR="00C865E4" w:rsidRPr="00C865E4" w:rsidP="00C865E4">
      <w:pPr>
        <w:pStyle w:val="ListParagraph"/>
        <w:numPr>
          <w:ilvl w:val="0"/>
          <w:numId w:val="13"/>
        </w:numPr>
      </w:pPr>
      <w:r w:rsidRPr="00C865E4">
        <w:t>C</w:t>
      </w:r>
      <w:r w:rsidRPr="00C865E4" w:rsidR="009242A9">
        <w:t>hanging dynamics in the power sector investing community</w:t>
      </w:r>
      <w:r w:rsidR="00877924">
        <w:t xml:space="preserve"> </w:t>
      </w:r>
    </w:p>
    <w:p w:rsidR="00C865E4" w:rsidRPr="00C865E4" w:rsidP="00C865E4">
      <w:pPr>
        <w:pStyle w:val="ListParagraph"/>
        <w:numPr>
          <w:ilvl w:val="0"/>
          <w:numId w:val="13"/>
        </w:numPr>
      </w:pPr>
      <w:r w:rsidRPr="00C865E4">
        <w:t>Supply chain</w:t>
      </w:r>
      <w:r w:rsidR="00877924">
        <w:t xml:space="preserve"> issues </w:t>
      </w:r>
    </w:p>
    <w:p w:rsidR="005B0FAA">
      <w:pPr>
        <w:spacing w:after="200" w:line="276" w:lineRule="auto"/>
      </w:pPr>
    </w:p>
    <w:p w:rsidR="008E3D49">
      <w:pPr>
        <w:spacing w:after="200" w:line="276" w:lineRule="auto"/>
      </w:pPr>
    </w:p>
    <w:p w:rsidR="00DC5816">
      <w:pPr>
        <w:spacing w:after="200" w:line="276" w:lineRule="auto"/>
      </w:pPr>
    </w:p>
    <w:p w:rsidR="001255E5" w:rsidRPr="009E2F5E" w:rsidP="001255E5">
      <w:pPr>
        <w:pStyle w:val="disclaimer"/>
        <w:rPr>
          <w:b/>
          <w:i/>
        </w:rPr>
      </w:pPr>
      <w:r w:rsidRPr="009E2F5E">
        <w:rPr>
          <w:b/>
          <w:i/>
        </w:rPr>
        <w:t>Anti-trust:</w:t>
      </w:r>
    </w:p>
    <w:p w:rsidR="001255E5" w:rsidRPr="009E2F5E" w:rsidP="009E2F5E">
      <w:pPr>
        <w:pStyle w:val="disclaimer"/>
        <w:spacing w:after="120"/>
        <w:ind w:right="-360"/>
      </w:pPr>
      <w:r w:rsidRPr="009E2F5E">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9E2F5E">
        <w:t xml:space="preserve"> </w:t>
      </w:r>
      <w:r w:rsidRPr="009E2F5E">
        <w:t>If any of these items are discussed the chair will re-direct the conversation.</w:t>
      </w:r>
      <w:r w:rsidR="009E2F5E">
        <w:t xml:space="preserve"> </w:t>
      </w:r>
      <w:r w:rsidRPr="009E2F5E">
        <w:t>If the conversation still persists, parties will be asked to leave the meeting or the meeting will be adjourned.</w:t>
      </w:r>
    </w:p>
    <w:p w:rsidR="001255E5" w:rsidRPr="009E2F5E" w:rsidP="009E2F5E">
      <w:pPr>
        <w:pStyle w:val="disclaimer"/>
        <w:ind w:right="-360"/>
        <w:rPr>
          <w:b/>
          <w:i/>
        </w:rPr>
      </w:pPr>
      <w:r w:rsidRPr="009E2F5E">
        <w:rPr>
          <w:b/>
          <w:i/>
        </w:rPr>
        <w:t>Code of Conduct:</w:t>
      </w:r>
    </w:p>
    <w:p w:rsidR="001255E5" w:rsidRPr="009E2F5E" w:rsidP="009E2F5E">
      <w:pPr>
        <w:pStyle w:val="disclaimer"/>
        <w:spacing w:after="120"/>
        <w:ind w:right="-360"/>
      </w:pPr>
      <w:r w:rsidRPr="009E2F5E">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255E5" w:rsidRPr="009E2F5E" w:rsidP="009E2F5E">
      <w:pPr>
        <w:pStyle w:val="disclaimer"/>
        <w:ind w:right="-360"/>
        <w:rPr>
          <w:b/>
          <w:i/>
        </w:rPr>
      </w:pPr>
      <w:r w:rsidRPr="009E2F5E">
        <w:rPr>
          <w:b/>
          <w:i/>
        </w:rPr>
        <w:t xml:space="preserve">Public Meetings/Media Participation: </w:t>
      </w:r>
    </w:p>
    <w:p w:rsidR="00A2763B" w:rsidP="009E2F5E">
      <w:pPr>
        <w:pStyle w:val="disclaimer"/>
        <w:ind w:right="-360"/>
      </w:pPr>
      <w:r w:rsidRPr="009E2F5E">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w:t>
      </w:r>
      <w:r w:rsidRPr="009E2F5E">
        <w:t>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AE4360">
      <w:pPr>
        <w:spacing w:after="200" w:line="276" w:lineRule="auto"/>
        <w:rPr>
          <w:rFonts w:eastAsia="Times New Roman"/>
          <w:sz w:val="18"/>
          <w:szCs w:val="18"/>
        </w:rPr>
      </w:pPr>
      <w:r>
        <w:br w:type="page"/>
      </w:r>
    </w:p>
    <w:p w:rsidR="00AE4360" w:rsidRPr="00AE4360" w:rsidP="00AE4360">
      <w:pPr>
        <w:spacing w:after="0" w:line="276" w:lineRule="auto"/>
        <w:rPr>
          <w:rFonts w:ascii="Arial" w:eastAsia="Times New Roman" w:hAnsi="Arial" w:cs="Arial"/>
          <w:lang w:val="en"/>
        </w:rPr>
      </w:pPr>
      <w:r w:rsidRPr="00AE4360">
        <w:rPr>
          <w:rFonts w:ascii="Arial" w:eastAsia="Times New Roman" w:hAnsi="Arial" w:cs="Arial"/>
          <w:noProof/>
        </w:rPr>
        <w:drawing>
          <wp:inline distT="0" distB="0" distL="0" distR="0">
            <wp:extent cx="1847850" cy="21298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3802" cy="2136711"/>
                    </a:xfrm>
                    <a:prstGeom prst="rect">
                      <a:avLst/>
                    </a:prstGeom>
                    <a:noFill/>
                    <a:ln>
                      <a:noFill/>
                    </a:ln>
                  </pic:spPr>
                </pic:pic>
              </a:graphicData>
            </a:graphic>
          </wp:inline>
        </w:drawing>
      </w:r>
    </w:p>
    <w:p w:rsidR="00AE4360" w:rsidRPr="00AE4360" w:rsidP="00675FD9">
      <w:pPr>
        <w:pStyle w:val="Heading1"/>
        <w:autoSpaceDE w:val="0"/>
        <w:autoSpaceDN w:val="0"/>
        <w:adjustRightInd w:val="0"/>
        <w:spacing w:line="276" w:lineRule="auto"/>
        <w:rPr>
          <w:rFonts w:eastAsia="Times New Roman"/>
        </w:rPr>
      </w:pPr>
      <w:r w:rsidRPr="00AE4360">
        <w:rPr>
          <w:rFonts w:eastAsia="Times New Roman"/>
        </w:rPr>
        <w:t>Brian George</w:t>
      </w:r>
    </w:p>
    <w:p w:rsidR="00AE4360" w:rsidRPr="00AE4360" w:rsidP="00675FD9">
      <w:pPr>
        <w:pStyle w:val="Heading2"/>
        <w:autoSpaceDE w:val="0"/>
        <w:autoSpaceDN w:val="0"/>
        <w:adjustRightInd w:val="0"/>
        <w:spacing w:line="276" w:lineRule="auto"/>
      </w:pPr>
      <w:r w:rsidRPr="00AE4360">
        <w:t>Google</w:t>
      </w:r>
      <w:r w:rsidR="00675FD9">
        <w:t xml:space="preserve">, </w:t>
      </w:r>
      <w:r w:rsidRPr="00AE4360">
        <w:t>Sr. Lead, US Energy Markets</w:t>
      </w:r>
    </w:p>
    <w:p w:rsidR="00AE4360" w:rsidRPr="00AE4360" w:rsidP="00AE4360">
      <w:pPr>
        <w:spacing w:after="0" w:line="276" w:lineRule="auto"/>
        <w:rPr>
          <w:sz w:val="24"/>
          <w:szCs w:val="24"/>
        </w:rPr>
      </w:pPr>
    </w:p>
    <w:p w:rsidR="00AE4360" w:rsidP="00AE4360">
      <w:pPr>
        <w:spacing w:after="0" w:line="276" w:lineRule="auto"/>
        <w:rPr>
          <w:sz w:val="24"/>
          <w:szCs w:val="24"/>
        </w:rPr>
      </w:pPr>
      <w:r w:rsidRPr="00AE4360">
        <w:rPr>
          <w:sz w:val="24"/>
          <w:szCs w:val="24"/>
        </w:rPr>
        <w:t>Brian is responsible for Google’s energy policy and strategy across the US power markets and the Federal Energy Regulatory Commission (FERC). Brian has extensive experience in wholesale electricity market design and energy policy.</w:t>
      </w:r>
    </w:p>
    <w:p w:rsidR="006E0348" w:rsidRPr="00AE4360" w:rsidP="00AE4360">
      <w:pPr>
        <w:spacing w:after="0" w:line="276" w:lineRule="auto"/>
        <w:rPr>
          <w:sz w:val="24"/>
          <w:szCs w:val="24"/>
        </w:rPr>
      </w:pPr>
    </w:p>
    <w:p w:rsidR="00AE4360" w:rsidRPr="00AE4360" w:rsidP="00AE4360">
      <w:pPr>
        <w:spacing w:after="0" w:line="276" w:lineRule="auto"/>
        <w:rPr>
          <w:sz w:val="24"/>
          <w:szCs w:val="24"/>
        </w:rPr>
      </w:pPr>
      <w:r w:rsidRPr="00AE4360">
        <w:rPr>
          <w:sz w:val="24"/>
          <w:szCs w:val="24"/>
        </w:rPr>
        <w:t xml:space="preserve">Prior to Google, Brian was the Senior Director for Strategy and Government Affairs at the Electric Power Supply Association (EPSA) where he led policy development and federal legislative engagement for a membership consisting of over 150,000 MW of competitive power generation across the US. </w:t>
      </w:r>
    </w:p>
    <w:p w:rsidR="00AE4360" w:rsidP="00AE4360">
      <w:pPr>
        <w:spacing w:after="0" w:line="276" w:lineRule="auto"/>
        <w:rPr>
          <w:sz w:val="24"/>
          <w:szCs w:val="24"/>
        </w:rPr>
      </w:pPr>
      <w:r w:rsidRPr="00AE4360">
        <w:rPr>
          <w:sz w:val="24"/>
          <w:szCs w:val="24"/>
        </w:rPr>
        <w:t xml:space="preserve">Brian started his career as an economist at FERC, serving in roles across multiple offices, including the Office of Enforcement and the Office of Energy Policy and Innovation. Brian capped his service at FERC as a technical advisor to former commissioner Rob Powelson, where he advised on significant issues impacting US energy markets. </w:t>
      </w:r>
    </w:p>
    <w:p w:rsidR="006E0348" w:rsidRPr="00AE4360" w:rsidP="00AE4360">
      <w:pPr>
        <w:spacing w:after="0" w:line="276" w:lineRule="auto"/>
        <w:rPr>
          <w:sz w:val="24"/>
          <w:szCs w:val="24"/>
        </w:rPr>
      </w:pPr>
    </w:p>
    <w:p w:rsidR="00AE4360" w:rsidP="00AE4360">
      <w:pPr>
        <w:spacing w:after="0" w:line="276" w:lineRule="auto"/>
        <w:rPr>
          <w:sz w:val="24"/>
          <w:szCs w:val="24"/>
        </w:rPr>
      </w:pPr>
      <w:r w:rsidRPr="00AE4360">
        <w:rPr>
          <w:sz w:val="24"/>
          <w:szCs w:val="24"/>
        </w:rPr>
        <w:t xml:space="preserve">Brian currently serves in multiple leadership positions, including as a co-chair of the Energy &amp; Environment Committee of the Data Center Coalition (DCC), and on the Board of Directors of the Electricity Customer Alliance (ECA) and the National Energy Resources Organization (NERO). </w:t>
      </w:r>
    </w:p>
    <w:p w:rsidR="006E0348" w:rsidRPr="00AE4360" w:rsidP="00AE4360">
      <w:pPr>
        <w:spacing w:after="0" w:line="276" w:lineRule="auto"/>
        <w:rPr>
          <w:sz w:val="24"/>
          <w:szCs w:val="24"/>
        </w:rPr>
      </w:pPr>
    </w:p>
    <w:p w:rsidR="00AE4360" w:rsidRPr="00FD5A2D" w:rsidP="00AE4360">
      <w:pPr>
        <w:spacing w:after="0" w:line="276" w:lineRule="auto"/>
        <w:rPr>
          <w:sz w:val="24"/>
          <w:szCs w:val="24"/>
        </w:rPr>
      </w:pPr>
      <w:r w:rsidRPr="00AE4360">
        <w:rPr>
          <w:sz w:val="24"/>
          <w:szCs w:val="24"/>
        </w:rPr>
        <w:t xml:space="preserve">A native of West Virginia, Brian now lives in Maryland with his wife, two beautiful kiddos, and </w:t>
      </w:r>
      <w:r w:rsidRPr="00FD5A2D" w:rsidR="00FD5A2D">
        <w:rPr>
          <w:sz w:val="24"/>
          <w:szCs w:val="24"/>
        </w:rPr>
        <w:t>golden doodle</w:t>
      </w:r>
      <w:r w:rsidRPr="00AE4360">
        <w:rPr>
          <w:sz w:val="24"/>
          <w:szCs w:val="24"/>
        </w:rPr>
        <w:t xml:space="preserve">. </w:t>
      </w:r>
    </w:p>
    <w:p w:rsidR="00AE4360" w:rsidP="009E2F5E">
      <w:pPr>
        <w:pStyle w:val="disclaimer"/>
        <w:ind w:right="-360"/>
        <w:rPr>
          <w:rFonts w:ascii="Arial" w:eastAsia="Calibri" w:hAnsi="Arial"/>
        </w:rPr>
      </w:pPr>
      <w:r>
        <w:rPr>
          <w:noProof/>
        </w:rPr>
        <w:drawing>
          <wp:inline distT="0" distB="0" distL="0" distR="0">
            <wp:extent cx="1905000" cy="1905000"/>
            <wp:effectExtent l="0" t="0" r="0" b="0"/>
            <wp:docPr id="6" name="Picture 6" descr="Dan Thompson - Principal Research Analyst - S&amp;P Gl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n Thompson - Principal Research Analyst - S&amp;P Global ..."/>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p w:rsidR="00BF7C45" w:rsidP="009E2F5E">
      <w:pPr>
        <w:pStyle w:val="disclaimer"/>
        <w:ind w:right="-360"/>
        <w:rPr>
          <w:rFonts w:ascii="Arial" w:eastAsia="Calibri" w:hAnsi="Arial"/>
        </w:rPr>
      </w:pPr>
    </w:p>
    <w:p w:rsidR="005A00B3" w:rsidRPr="005A00B3" w:rsidP="005A00B3">
      <w:pPr>
        <w:pStyle w:val="Heading1"/>
        <w:autoSpaceDE w:val="0"/>
        <w:autoSpaceDN w:val="0"/>
        <w:adjustRightInd w:val="0"/>
        <w:spacing w:line="276" w:lineRule="auto"/>
        <w:rPr>
          <w:rFonts w:eastAsia="Times New Roman"/>
        </w:rPr>
      </w:pPr>
      <w:r w:rsidRPr="005A00B3">
        <w:rPr>
          <w:rFonts w:eastAsia="Times New Roman"/>
        </w:rPr>
        <w:t>Dan Thompson</w:t>
      </w:r>
    </w:p>
    <w:p w:rsidR="005A00B3" w:rsidRPr="005A00B3" w:rsidP="005A00B3">
      <w:pPr>
        <w:pStyle w:val="Heading2"/>
        <w:autoSpaceDE w:val="0"/>
        <w:autoSpaceDN w:val="0"/>
        <w:adjustRightInd w:val="0"/>
        <w:spacing w:line="276" w:lineRule="auto"/>
      </w:pPr>
      <w:r w:rsidRPr="005A00B3">
        <w:t>Principal r</w:t>
      </w:r>
      <w:r w:rsidR="00F079E3">
        <w:t xml:space="preserve">esearch Analyst, 451 Research, </w:t>
      </w:r>
      <w:r w:rsidRPr="005A00B3">
        <w:t>S&amp;P Global Market Intelligence</w:t>
      </w:r>
    </w:p>
    <w:p w:rsidR="00BF7C45" w:rsidP="009E2F5E">
      <w:pPr>
        <w:pStyle w:val="disclaimer"/>
        <w:ind w:right="-360"/>
        <w:rPr>
          <w:rFonts w:ascii="Arial" w:eastAsia="Calibri" w:hAnsi="Arial"/>
        </w:rPr>
      </w:pPr>
    </w:p>
    <w:p w:rsidR="00BF7C45" w:rsidP="00FD5A2D">
      <w:pPr>
        <w:spacing w:after="0" w:line="276" w:lineRule="auto"/>
        <w:rPr>
          <w:sz w:val="24"/>
          <w:szCs w:val="24"/>
        </w:rPr>
      </w:pPr>
      <w:r w:rsidRPr="00FD5A2D">
        <w:rPr>
          <w:sz w:val="24"/>
          <w:szCs w:val="24"/>
        </w:rPr>
        <w:t>Dan Thompson is a principal research analyst in the 451 Research technology research group within S&amp;P Global Market Intelligence. He leads the Datacenter Services and Infrastructure team, which is charged with keeping tabs on the datacenter industry globally to better understand its trends and growth areas. His re</w:t>
      </w:r>
      <w:r w:rsidRPr="00FD5A2D">
        <w:rPr>
          <w:sz w:val="24"/>
          <w:szCs w:val="24"/>
        </w:rPr>
        <w:t>search includes analyses of datacenter providers, market size and supply/demand in key and emerging markets around the world. Dan also covers datacenter providers offering services beyond colocation, such as managed and cloud-type services. In addition, Dan provides research on the sustainability of the datacenter industry. Beyond renewable energy purchasing and carbon offsetting, he has been investigating full life-cycle emissions, including supply chain emissions as well as efficiency gains and water usage.</w:t>
      </w:r>
    </w:p>
    <w:p w:rsidR="00F079E3" w:rsidP="00FD5A2D">
      <w:pPr>
        <w:spacing w:after="0" w:line="276" w:lineRule="auto"/>
        <w:rPr>
          <w:sz w:val="24"/>
          <w:szCs w:val="24"/>
        </w:rPr>
      </w:pPr>
    </w:p>
    <w:p w:rsidR="0063363B" w:rsidP="00FD5A2D">
      <w:pPr>
        <w:spacing w:after="0" w:line="276" w:lineRule="auto"/>
        <w:rPr>
          <w:sz w:val="24"/>
          <w:szCs w:val="24"/>
        </w:rPr>
      </w:pPr>
    </w:p>
    <w:p w:rsidR="00F079E3" w:rsidP="00FD5A2D">
      <w:pPr>
        <w:spacing w:after="0" w:line="276" w:lineRule="auto"/>
        <w:rPr>
          <w:sz w:val="24"/>
          <w:szCs w:val="24"/>
        </w:rPr>
      </w:pPr>
    </w:p>
    <w:p w:rsidR="00F079E3" w:rsidRPr="00FD5A2D" w:rsidP="00FD5A2D">
      <w:pPr>
        <w:spacing w:after="0" w:line="276" w:lineRule="auto"/>
        <w:rPr>
          <w:sz w:val="24"/>
          <w:szCs w:val="24"/>
        </w:rPr>
      </w:pPr>
      <w:r w:rsidRPr="00F079E3">
        <w:rPr>
          <w:noProof/>
          <w:sz w:val="24"/>
          <w:szCs w:val="24"/>
        </w:rPr>
        <w:drawing>
          <wp:inline distT="0" distB="0" distL="0" distR="0">
            <wp:extent cx="2689866" cy="2488399"/>
            <wp:effectExtent l="0" t="0" r="0" b="7620"/>
            <wp:docPr id="5" name="Picture 5" descr="C:\Users\andersd\Desktop\Folders\General Sessions\20250513 GS\IMG_25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andersd\Desktop\Folders\General Sessions\20250513 GS\IMG_2584.jpe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11770" cy="2508663"/>
                    </a:xfrm>
                    <a:prstGeom prst="rect">
                      <a:avLst/>
                    </a:prstGeom>
                    <a:noFill/>
                    <a:ln>
                      <a:noFill/>
                    </a:ln>
                  </pic:spPr>
                </pic:pic>
              </a:graphicData>
            </a:graphic>
          </wp:inline>
        </w:drawing>
      </w:r>
    </w:p>
    <w:p w:rsidR="00BF7C45" w:rsidRPr="005A00B3" w:rsidP="005A00B3">
      <w:pPr>
        <w:pStyle w:val="Heading1"/>
        <w:autoSpaceDE w:val="0"/>
        <w:autoSpaceDN w:val="0"/>
        <w:adjustRightInd w:val="0"/>
        <w:spacing w:line="276" w:lineRule="auto"/>
        <w:rPr>
          <w:rFonts w:eastAsia="Times New Roman"/>
        </w:rPr>
      </w:pPr>
      <w:r w:rsidRPr="005A00B3">
        <w:rPr>
          <w:rFonts w:eastAsia="Times New Roman"/>
        </w:rPr>
        <w:t>Kevin Hughes</w:t>
      </w:r>
    </w:p>
    <w:p w:rsidR="00BF7C45" w:rsidRPr="005A00B3" w:rsidP="005A00B3">
      <w:pPr>
        <w:pStyle w:val="Heading2"/>
        <w:autoSpaceDE w:val="0"/>
        <w:autoSpaceDN w:val="0"/>
        <w:adjustRightInd w:val="0"/>
        <w:spacing w:line="276" w:lineRule="auto"/>
      </w:pPr>
      <w:r w:rsidRPr="005A00B3">
        <w:t>Senior Vice President of Public Affairs, STACK Infrastructure</w:t>
      </w:r>
    </w:p>
    <w:p w:rsidR="005A00B3" w:rsidRPr="00FD5A2D" w:rsidP="00FD5A2D">
      <w:pPr>
        <w:spacing w:after="0" w:line="276" w:lineRule="auto"/>
        <w:rPr>
          <w:sz w:val="24"/>
          <w:szCs w:val="24"/>
        </w:rPr>
      </w:pPr>
    </w:p>
    <w:p w:rsidR="00BF7C45" w:rsidP="00FD5A2D">
      <w:pPr>
        <w:spacing w:after="0" w:line="276" w:lineRule="auto"/>
        <w:rPr>
          <w:sz w:val="24"/>
          <w:szCs w:val="24"/>
        </w:rPr>
      </w:pPr>
      <w:r w:rsidRPr="00FD5A2D">
        <w:rPr>
          <w:sz w:val="24"/>
          <w:szCs w:val="24"/>
        </w:rPr>
        <w:t>As Senior Vice President of Public Affairs Kevin Hughes manages the Public Affairs organization for STACK and leverages his experience in tech and infrastructure policy, infrastructure strategy, operations, and program management, to create a more favorable environment for data center development and highlight the benefits of the industry to policy government stakeholders at the state, local, and federal levels.</w:t>
      </w:r>
    </w:p>
    <w:p w:rsidR="006E0348" w:rsidP="00FD5A2D">
      <w:pPr>
        <w:spacing w:after="0" w:line="276" w:lineRule="auto"/>
        <w:rPr>
          <w:sz w:val="24"/>
          <w:szCs w:val="24"/>
        </w:rPr>
      </w:pPr>
    </w:p>
    <w:p w:rsidR="00BF7C45" w:rsidRPr="00FD5A2D" w:rsidP="00FD5A2D">
      <w:pPr>
        <w:spacing w:after="0" w:line="276" w:lineRule="auto"/>
        <w:rPr>
          <w:sz w:val="24"/>
          <w:szCs w:val="24"/>
        </w:rPr>
      </w:pPr>
      <w:r w:rsidRPr="00FD5A2D">
        <w:rPr>
          <w:sz w:val="24"/>
          <w:szCs w:val="24"/>
        </w:rPr>
        <w:t>Prior to his current role, Kevin spent over 10 years at Meta advising their global policy and product leadership on internal and external policy positions for future product development, leading a team comprised of policy, legal, and product professionals to establish global organizational strategies to adapt to new regulatory structures, working within the technical infrastructure space on data center and network infrastructure policy issues, and deploying data centers and networks as a technical program manager.</w:t>
      </w:r>
    </w:p>
    <w:p w:rsidR="00BF7C45" w:rsidP="00FD5A2D">
      <w:pPr>
        <w:spacing w:after="0" w:line="276" w:lineRule="auto"/>
        <w:rPr>
          <w:sz w:val="24"/>
          <w:szCs w:val="24"/>
        </w:rPr>
      </w:pPr>
      <w:r w:rsidRPr="00FD5A2D">
        <w:rPr>
          <w:sz w:val="24"/>
          <w:szCs w:val="24"/>
        </w:rPr>
        <w:t xml:space="preserve">Kevin is a member of the Data Center Coalition’s Board of Directors and Co-Chairs the Coalition’s Policy Council; is an appointed member of the Board of City of Fredericksburg’s Economic Development Authority and serves as Treasurer; is a member of the Executive Board of Directors for the Boy Scouts of America’s </w:t>
      </w:r>
      <w:r w:rsidRPr="00FD5A2D">
        <w:rPr>
          <w:sz w:val="24"/>
          <w:szCs w:val="24"/>
        </w:rPr>
        <w:t>National Capital Area Council; and is on the Advisory Board for the University of Mary Washington’s College of Business.</w:t>
      </w:r>
    </w:p>
    <w:p w:rsidR="00225C6D" w:rsidP="00FD5A2D">
      <w:pPr>
        <w:spacing w:after="0" w:line="276" w:lineRule="auto"/>
        <w:rPr>
          <w:sz w:val="24"/>
          <w:szCs w:val="24"/>
        </w:rPr>
      </w:pPr>
    </w:p>
    <w:p w:rsidR="00BF7C45" w:rsidRPr="00FD5A2D" w:rsidP="00FD5A2D">
      <w:pPr>
        <w:spacing w:after="0" w:line="276" w:lineRule="auto"/>
        <w:rPr>
          <w:sz w:val="24"/>
          <w:szCs w:val="24"/>
        </w:rPr>
      </w:pPr>
      <w:r w:rsidRPr="00FD5A2D">
        <w:rPr>
          <w:sz w:val="24"/>
          <w:szCs w:val="24"/>
        </w:rPr>
        <w:t>Kevin was awarded a BA in Political Science from The University of Mary Washington.</w:t>
      </w:r>
    </w:p>
    <w:p w:rsidR="00BF7C45" w:rsidP="009E2F5E">
      <w:pPr>
        <w:pStyle w:val="disclaimer"/>
        <w:ind w:right="-360"/>
        <w:rPr>
          <w:rFonts w:ascii="Arial" w:eastAsia="Calibri" w:hAnsi="Arial"/>
        </w:rPr>
      </w:pPr>
    </w:p>
    <w:p w:rsidR="00BF7C45" w:rsidP="009E2F5E">
      <w:pPr>
        <w:pStyle w:val="disclaimer"/>
        <w:ind w:right="-360"/>
        <w:rPr>
          <w:rFonts w:ascii="Arial" w:eastAsia="Calibri" w:hAnsi="Arial"/>
        </w:rPr>
      </w:pPr>
      <w:r w:rsidRPr="00BF7C45">
        <w:rPr>
          <w:rFonts w:ascii="Arial" w:eastAsia="Calibri" w:hAnsi="Arial"/>
          <w:noProof/>
        </w:rPr>
        <w:drawing>
          <wp:inline distT="0" distB="0" distL="0" distR="0">
            <wp:extent cx="2162175" cy="1729740"/>
            <wp:effectExtent l="0" t="0" r="9525" b="3810"/>
            <wp:docPr id="7" name="Picture 7" descr="C:\Users\andersd\AppData\Local\Microsoft\Windows\INetCache\Content.Outlook\IEP3U17I\Lauby_sm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C:\Users\andersd\AppData\Local\Microsoft\Windows\INetCache\Content.Outlook\IEP3U17I\Lauby_sm  high res.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5748" cy="1732598"/>
                    </a:xfrm>
                    <a:prstGeom prst="rect">
                      <a:avLst/>
                    </a:prstGeom>
                    <a:noFill/>
                    <a:ln>
                      <a:noFill/>
                    </a:ln>
                  </pic:spPr>
                </pic:pic>
              </a:graphicData>
            </a:graphic>
          </wp:inline>
        </w:drawing>
      </w:r>
    </w:p>
    <w:p w:rsidR="00BF7C45" w:rsidP="009E2F5E">
      <w:pPr>
        <w:pStyle w:val="disclaimer"/>
        <w:ind w:right="-360"/>
        <w:rPr>
          <w:rFonts w:ascii="Arial" w:eastAsia="Calibri" w:hAnsi="Arial"/>
        </w:rPr>
      </w:pPr>
    </w:p>
    <w:p w:rsidR="00BF7C45" w:rsidRPr="005A00B3" w:rsidP="005A00B3">
      <w:pPr>
        <w:pStyle w:val="Heading1"/>
        <w:autoSpaceDE w:val="0"/>
        <w:autoSpaceDN w:val="0"/>
        <w:adjustRightInd w:val="0"/>
        <w:spacing w:line="276" w:lineRule="auto"/>
        <w:rPr>
          <w:rFonts w:eastAsia="Times New Roman"/>
        </w:rPr>
      </w:pPr>
      <w:r w:rsidRPr="005A00B3">
        <w:rPr>
          <w:rFonts w:eastAsia="Times New Roman"/>
        </w:rPr>
        <w:t>Mark Lauby</w:t>
      </w:r>
    </w:p>
    <w:p w:rsidR="00BF7C45" w:rsidRPr="005A00B3" w:rsidP="005A00B3">
      <w:pPr>
        <w:pStyle w:val="Heading2"/>
        <w:autoSpaceDE w:val="0"/>
        <w:autoSpaceDN w:val="0"/>
        <w:adjustRightInd w:val="0"/>
        <w:spacing w:line="276" w:lineRule="auto"/>
      </w:pPr>
      <w:r w:rsidRPr="005A00B3">
        <w:t>Senior Vice President and Chief Engineer</w:t>
      </w:r>
    </w:p>
    <w:p w:rsidR="00BF7C45" w:rsidRPr="00FD5A2D" w:rsidP="00FD5A2D">
      <w:pPr>
        <w:spacing w:after="0" w:line="276" w:lineRule="auto"/>
        <w:rPr>
          <w:sz w:val="24"/>
          <w:szCs w:val="24"/>
        </w:rPr>
      </w:pPr>
      <w:r w:rsidRPr="00FD5A2D">
        <w:rPr>
          <w:sz w:val="24"/>
          <w:szCs w:val="24"/>
        </w:rPr>
        <w:t>Mark G. Lauby is the senior vice president and chief engineer at the North American Electric Reliability Corporation (NERC). Mr. Lauby joined NERC in January 2007 and has held several positions. Prior to joining NERC, Mr. Lauby worked for the Electric Power Research Institute (EPRI) for 20 years. Mr. Lauby began his electric industry career in 1979 at the Mid-Continent Area Power Pool in Minneapolis, Minnesota.</w:t>
      </w:r>
    </w:p>
    <w:p w:rsidR="00BF7C45" w:rsidRPr="00FD5A2D" w:rsidP="00FD5A2D">
      <w:pPr>
        <w:spacing w:after="0" w:line="276" w:lineRule="auto"/>
        <w:rPr>
          <w:sz w:val="24"/>
          <w:szCs w:val="24"/>
        </w:rPr>
      </w:pPr>
      <w:r w:rsidRPr="00FD5A2D">
        <w:rPr>
          <w:sz w:val="24"/>
          <w:szCs w:val="24"/>
        </w:rPr>
        <w:t xml:space="preserve">In 2012, Mr. Lauby was elected to the NAES Board and was appointed to the DOE Electric Advisory Committee by the Secretary of Energy in 2014. Recognitions include the 1992 IEEE Walter Fee Young Engineer of the Year Award, named a Fellow by IEEE in November 2011, the IEEE Power and Energy Society’s Roy </w:t>
      </w:r>
      <w:r w:rsidRPr="00FD5A2D">
        <w:rPr>
          <w:sz w:val="24"/>
          <w:szCs w:val="24"/>
        </w:rPr>
        <w:t>Billinton</w:t>
      </w:r>
      <w:r w:rsidRPr="00FD5A2D">
        <w:rPr>
          <w:sz w:val="24"/>
          <w:szCs w:val="24"/>
        </w:rPr>
        <w:t xml:space="preserve"> Power System Reliability Award in 2014. Elected as a member of The National Academy of Engineering In 2020, citing his development and application of techniques for electric grid reliability analysis, and is author of more than 150 technical papers about power system reliability, transmission planning, and power </w:t>
      </w:r>
      <w:r w:rsidRPr="00FD5A2D">
        <w:rPr>
          <w:sz w:val="24"/>
          <w:szCs w:val="24"/>
        </w:rPr>
        <w:t>system numerical analysis techniques. He earned his bachelor’s and master’s degrees in electrical engineering from the University of Minnesota, and attended the London Business School Accelerated Development Program as well as the Executive Leadership Program at Harvard Business School.</w:t>
      </w:r>
    </w:p>
    <w:p w:rsidR="00BF7C45" w:rsidP="00BF7C45">
      <w:pPr>
        <w:pStyle w:val="disclaimer"/>
        <w:ind w:right="-360"/>
        <w:rPr>
          <w:rFonts w:ascii="Arial" w:eastAsia="Calibri" w:hAnsi="Arial"/>
        </w:rPr>
      </w:pPr>
    </w:p>
    <w:p w:rsidR="00BF7C45" w:rsidP="00BF7C45">
      <w:pPr>
        <w:pStyle w:val="disclaimer"/>
        <w:ind w:right="-360"/>
        <w:rPr>
          <w:rFonts w:ascii="Arial" w:eastAsia="Calibri" w:hAnsi="Arial"/>
        </w:rPr>
      </w:pPr>
      <w:r w:rsidRPr="00BF7C45">
        <w:rPr>
          <w:rFonts w:ascii="Arial" w:eastAsia="Calibri" w:hAnsi="Arial"/>
          <w:noProof/>
        </w:rPr>
        <w:drawing>
          <wp:inline distT="0" distB="0" distL="0" distR="0">
            <wp:extent cx="3028950" cy="2019300"/>
            <wp:effectExtent l="0" t="0" r="0" b="0"/>
            <wp:docPr id="8" name="Picture 8" descr="C:\Users\andersd\AppData\Local\Microsoft\Windows\INetCache\Content.Outlook\IEP3U17I\Matthew-Davis-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Users\andersd\AppData\Local\Microsoft\Windows\INetCache\Content.Outlook\IEP3U17I\Matthew-Davis-2 1.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29184" cy="2019456"/>
                    </a:xfrm>
                    <a:prstGeom prst="rect">
                      <a:avLst/>
                    </a:prstGeom>
                    <a:noFill/>
                    <a:ln>
                      <a:noFill/>
                    </a:ln>
                  </pic:spPr>
                </pic:pic>
              </a:graphicData>
            </a:graphic>
          </wp:inline>
        </w:drawing>
      </w:r>
    </w:p>
    <w:p w:rsidR="005A00B3" w:rsidP="00BF7C45">
      <w:pPr>
        <w:pStyle w:val="disclaimer"/>
        <w:ind w:right="-360"/>
        <w:rPr>
          <w:rFonts w:ascii="Arial" w:eastAsia="Calibri" w:hAnsi="Arial"/>
        </w:rPr>
      </w:pPr>
    </w:p>
    <w:p w:rsidR="005A00B3" w:rsidRPr="005A00B3" w:rsidP="005A00B3">
      <w:pPr>
        <w:pStyle w:val="Heading1"/>
        <w:autoSpaceDE w:val="0"/>
        <w:autoSpaceDN w:val="0"/>
        <w:adjustRightInd w:val="0"/>
        <w:spacing w:line="276" w:lineRule="auto"/>
        <w:rPr>
          <w:rFonts w:eastAsia="Times New Roman"/>
        </w:rPr>
      </w:pPr>
      <w:r w:rsidRPr="005A00B3">
        <w:rPr>
          <w:rFonts w:eastAsia="Times New Roman"/>
        </w:rPr>
        <w:t>Matthew Davis</w:t>
      </w:r>
    </w:p>
    <w:p w:rsidR="00BF7C45" w:rsidRPr="005A00B3" w:rsidP="005A00B3">
      <w:pPr>
        <w:pStyle w:val="Heading2"/>
        <w:autoSpaceDE w:val="0"/>
        <w:autoSpaceDN w:val="0"/>
        <w:adjustRightInd w:val="0"/>
        <w:spacing w:line="276" w:lineRule="auto"/>
      </w:pPr>
      <w:r w:rsidRPr="005A00B3">
        <w:t>Vice President of Regulatory, Policy, and Government Relations, Capital Power</w:t>
      </w:r>
    </w:p>
    <w:p w:rsidR="005A00B3" w:rsidP="00BF7C45">
      <w:pPr>
        <w:pStyle w:val="disclaimer"/>
        <w:ind w:right="-360"/>
        <w:rPr>
          <w:rFonts w:ascii="Arial" w:eastAsia="Calibri" w:hAnsi="Arial"/>
        </w:rPr>
      </w:pPr>
    </w:p>
    <w:p w:rsidR="00BF7C45" w:rsidP="00FD5A2D">
      <w:pPr>
        <w:spacing w:after="0" w:line="276" w:lineRule="auto"/>
        <w:rPr>
          <w:sz w:val="24"/>
          <w:szCs w:val="24"/>
        </w:rPr>
      </w:pPr>
      <w:r w:rsidRPr="00FD5A2D">
        <w:rPr>
          <w:sz w:val="24"/>
          <w:szCs w:val="24"/>
        </w:rPr>
        <w:t>Matthew Davis is the Vice President of Regulatory, Policy, and Government Relations at Capital Power, where he leads the company’s Canadian engagement strategy with federal and provincial governments, regulators, and key policy stakeholders. His work focuses on identifying strategic opportunities and managing regulatory risks.</w:t>
      </w:r>
    </w:p>
    <w:p w:rsidR="006E0348" w:rsidRPr="00FD5A2D" w:rsidP="00FD5A2D">
      <w:pPr>
        <w:spacing w:after="0" w:line="276" w:lineRule="auto"/>
        <w:rPr>
          <w:sz w:val="24"/>
          <w:szCs w:val="24"/>
        </w:rPr>
      </w:pPr>
    </w:p>
    <w:p w:rsidR="00BF7C45" w:rsidP="00FD5A2D">
      <w:pPr>
        <w:spacing w:after="0" w:line="276" w:lineRule="auto"/>
        <w:rPr>
          <w:sz w:val="24"/>
          <w:szCs w:val="24"/>
        </w:rPr>
      </w:pPr>
      <w:r w:rsidRPr="00FD5A2D">
        <w:rPr>
          <w:sz w:val="24"/>
          <w:szCs w:val="24"/>
        </w:rPr>
        <w:t>With over 15 years of experience, Matthew has built forecasting models and developed strategic analytics wholesale electricity markets. He has played a key role in a wide range of policy and regulatory initiatives, including wholesale market design, transmission policy and tariff structures, off-coal negotiations, and the development of carbon and renewable energy policies.</w:t>
      </w:r>
    </w:p>
    <w:p w:rsidR="006E0348" w:rsidRPr="00FD5A2D" w:rsidP="00FD5A2D">
      <w:pPr>
        <w:spacing w:after="0" w:line="276" w:lineRule="auto"/>
        <w:rPr>
          <w:sz w:val="24"/>
          <w:szCs w:val="24"/>
        </w:rPr>
      </w:pPr>
    </w:p>
    <w:p w:rsidR="00BF7C45" w:rsidP="00FD5A2D">
      <w:pPr>
        <w:spacing w:after="0" w:line="276" w:lineRule="auto"/>
        <w:rPr>
          <w:sz w:val="24"/>
          <w:szCs w:val="24"/>
        </w:rPr>
      </w:pPr>
      <w:r w:rsidRPr="00FD5A2D">
        <w:rPr>
          <w:sz w:val="24"/>
          <w:szCs w:val="24"/>
        </w:rPr>
        <w:t>Matthew holds both a Master of Science and a Bachelor of Science in Statistics from the University of Calgary, as well as a Postgraduate Diploma (</w:t>
      </w:r>
      <w:r w:rsidRPr="00FD5A2D">
        <w:rPr>
          <w:sz w:val="24"/>
          <w:szCs w:val="24"/>
        </w:rPr>
        <w:t>Honours</w:t>
      </w:r>
      <w:r w:rsidRPr="00FD5A2D">
        <w:rPr>
          <w:sz w:val="24"/>
          <w:szCs w:val="24"/>
        </w:rPr>
        <w:t>) from the University of Otago.</w:t>
      </w:r>
    </w:p>
    <w:p w:rsidR="00225C6D" w:rsidP="00FD5A2D">
      <w:pPr>
        <w:spacing w:after="0" w:line="276" w:lineRule="auto"/>
        <w:rPr>
          <w:sz w:val="24"/>
          <w:szCs w:val="24"/>
        </w:rPr>
      </w:pPr>
    </w:p>
    <w:p w:rsidR="00F079E3" w:rsidRPr="00FD5A2D" w:rsidP="00FD5A2D">
      <w:pPr>
        <w:spacing w:after="0" w:line="276" w:lineRule="auto"/>
        <w:rPr>
          <w:sz w:val="24"/>
          <w:szCs w:val="24"/>
        </w:rPr>
      </w:pPr>
      <w:r w:rsidRPr="00F079E3">
        <w:rPr>
          <w:noProof/>
          <w:sz w:val="24"/>
          <w:szCs w:val="24"/>
        </w:rPr>
        <w:drawing>
          <wp:inline distT="0" distB="0" distL="0" distR="0">
            <wp:extent cx="2544417" cy="2665010"/>
            <wp:effectExtent l="0" t="0" r="8890" b="2540"/>
            <wp:docPr id="2" name="Picture 2" descr="C:\Users\andersd\AppData\Local\Microsoft\Windows\INetCache\Content.Outlook\IEP3U17I\Harry Sing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ndersd\AppData\Local\Microsoft\Windows\INetCache\Content.Outlook\IEP3U17I\Harry Singh 2.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8066" cy="2668832"/>
                    </a:xfrm>
                    <a:prstGeom prst="rect">
                      <a:avLst/>
                    </a:prstGeom>
                    <a:noFill/>
                    <a:ln>
                      <a:noFill/>
                    </a:ln>
                  </pic:spPr>
                </pic:pic>
              </a:graphicData>
            </a:graphic>
          </wp:inline>
        </w:drawing>
      </w:r>
    </w:p>
    <w:p w:rsidR="00BF7C45" w:rsidRPr="005A00B3" w:rsidP="005A00B3">
      <w:pPr>
        <w:pStyle w:val="Heading1"/>
        <w:autoSpaceDE w:val="0"/>
        <w:autoSpaceDN w:val="0"/>
        <w:adjustRightInd w:val="0"/>
        <w:spacing w:line="276" w:lineRule="auto"/>
        <w:rPr>
          <w:rFonts w:eastAsia="Times New Roman"/>
        </w:rPr>
      </w:pPr>
      <w:r w:rsidRPr="005A00B3">
        <w:rPr>
          <w:rFonts w:eastAsia="Times New Roman"/>
        </w:rPr>
        <w:t>Harry Singh</w:t>
      </w:r>
    </w:p>
    <w:p w:rsidR="00225C6D" w:rsidRPr="00225C6D" w:rsidP="00225C6D">
      <w:pPr>
        <w:pStyle w:val="Heading2"/>
        <w:autoSpaceDE w:val="0"/>
        <w:autoSpaceDN w:val="0"/>
        <w:adjustRightInd w:val="0"/>
        <w:spacing w:line="276" w:lineRule="auto"/>
      </w:pPr>
      <w:r w:rsidRPr="00225C6D">
        <w:t>Harry Singh, Vice President - Global Banking &amp; Markets Division at Goldman Sachs</w:t>
      </w:r>
    </w:p>
    <w:p w:rsidR="00F079E3" w:rsidRPr="00F079E3" w:rsidP="00F079E3">
      <w:pPr>
        <w:spacing w:after="0" w:line="276" w:lineRule="auto"/>
        <w:rPr>
          <w:sz w:val="24"/>
          <w:szCs w:val="24"/>
        </w:rPr>
      </w:pPr>
      <w:r w:rsidRPr="00225C6D">
        <w:rPr>
          <w:sz w:val="24"/>
          <w:szCs w:val="24"/>
        </w:rPr>
        <w:t xml:space="preserve">Harry </w:t>
      </w:r>
      <w:r w:rsidRPr="00F079E3">
        <w:rPr>
          <w:sz w:val="24"/>
          <w:szCs w:val="24"/>
        </w:rPr>
        <w:t>has extensive experience across North American power and renewables markets with a focus on structured transactions and on developing energy transition solutions.</w:t>
      </w:r>
    </w:p>
    <w:p w:rsidR="00F079E3" w:rsidRPr="00F079E3" w:rsidP="00F079E3">
      <w:pPr>
        <w:spacing w:after="0" w:line="276" w:lineRule="auto"/>
        <w:rPr>
          <w:sz w:val="24"/>
          <w:szCs w:val="24"/>
        </w:rPr>
      </w:pPr>
    </w:p>
    <w:p w:rsidR="005A00B3" w:rsidP="00F079E3">
      <w:pPr>
        <w:spacing w:after="0" w:line="276" w:lineRule="auto"/>
        <w:rPr>
          <w:sz w:val="24"/>
          <w:szCs w:val="24"/>
        </w:rPr>
      </w:pPr>
      <w:r w:rsidRPr="00F079E3">
        <w:rPr>
          <w:sz w:val="24"/>
          <w:szCs w:val="24"/>
        </w:rPr>
        <w:t>Prior to his current position, Harry worked with RBS Sempra Commodities.  He served as a Senior Market Advisor at the Federal Energy Regulatory Commission (FERC) and started his career at PG&amp;E.   He has also served on WSPP’s Executive Committee since 2011 including as Chairman from 2014-2017.  He holds a PhD in Electrical Engineering from the University of Wisconsin-Madison.</w:t>
      </w:r>
    </w:p>
    <w:p w:rsidR="00F079E3" w:rsidP="00F079E3">
      <w:pPr>
        <w:spacing w:after="0" w:line="276" w:lineRule="auto"/>
        <w:rPr>
          <w:sz w:val="24"/>
          <w:szCs w:val="24"/>
        </w:rPr>
      </w:pPr>
    </w:p>
    <w:p w:rsidR="00F079E3" w:rsidP="00F079E3">
      <w:pPr>
        <w:spacing w:after="0" w:line="276" w:lineRule="auto"/>
        <w:rPr>
          <w:sz w:val="24"/>
          <w:szCs w:val="24"/>
        </w:rPr>
      </w:pPr>
    </w:p>
    <w:p w:rsidR="005A00B3" w:rsidRPr="00FD5A2D" w:rsidP="00FD5A2D">
      <w:pPr>
        <w:spacing w:after="0" w:line="276" w:lineRule="auto"/>
        <w:rPr>
          <w:sz w:val="24"/>
          <w:szCs w:val="24"/>
        </w:rPr>
      </w:pPr>
    </w:p>
    <w:p w:rsidR="00BF7C45" w:rsidP="00BF7C45">
      <w:pPr>
        <w:pStyle w:val="disclaimer"/>
        <w:ind w:right="-360"/>
        <w:rPr>
          <w:rFonts w:ascii="Arial" w:eastAsia="Calibri" w:hAnsi="Arial"/>
        </w:rPr>
      </w:pPr>
      <w:r>
        <w:rPr>
          <w:noProof/>
        </w:rPr>
        <w:drawing>
          <wp:inline distT="0" distB="0" distL="0" distR="0">
            <wp:extent cx="1838325" cy="2171700"/>
            <wp:effectExtent l="0" t="0" r="9525" b="0"/>
            <wp:docPr id="1765120101" name="Picture 1" descr="A person in a suit and glasses&#10;&#10;AI-generated content may be incorrect."/>
            <wp:cNvGraphicFramePr/>
            <a:graphic xmlns:a="http://schemas.openxmlformats.org/drawingml/2006/main">
              <a:graphicData uri="http://schemas.openxmlformats.org/drawingml/2006/picture">
                <pic:pic xmlns:pic="http://schemas.openxmlformats.org/drawingml/2006/picture">
                  <pic:nvPicPr>
                    <pic:cNvPr id="1765120101" name="Picture 1" descr="A person in a suit and glasses&#10;&#10;AI-generated content may be incorrect."/>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38325" cy="2171700"/>
                    </a:xfrm>
                    <a:prstGeom prst="rect">
                      <a:avLst/>
                    </a:prstGeom>
                  </pic:spPr>
                </pic:pic>
              </a:graphicData>
            </a:graphic>
          </wp:inline>
        </w:drawing>
      </w:r>
    </w:p>
    <w:p w:rsidR="00BF7C45" w:rsidP="00BF7C45">
      <w:pPr>
        <w:pStyle w:val="disclaimer"/>
        <w:ind w:right="-360"/>
        <w:rPr>
          <w:rFonts w:ascii="Arial" w:eastAsia="Calibri" w:hAnsi="Arial"/>
        </w:rPr>
      </w:pPr>
    </w:p>
    <w:p w:rsidR="00BF7C45" w:rsidRPr="005A00B3" w:rsidP="005A00B3">
      <w:pPr>
        <w:pStyle w:val="Heading1"/>
        <w:autoSpaceDE w:val="0"/>
        <w:autoSpaceDN w:val="0"/>
        <w:adjustRightInd w:val="0"/>
        <w:spacing w:line="276" w:lineRule="auto"/>
        <w:rPr>
          <w:rFonts w:eastAsia="Times New Roman"/>
        </w:rPr>
      </w:pPr>
      <w:r w:rsidRPr="005A00B3">
        <w:rPr>
          <w:rFonts w:eastAsia="Times New Roman"/>
        </w:rPr>
        <w:t>Tom Freeman</w:t>
      </w:r>
    </w:p>
    <w:p w:rsidR="00BF7C45" w:rsidRPr="005A00B3" w:rsidP="005A00B3">
      <w:pPr>
        <w:pStyle w:val="Heading2"/>
        <w:autoSpaceDE w:val="0"/>
        <w:autoSpaceDN w:val="0"/>
        <w:adjustRightInd w:val="0"/>
        <w:spacing w:line="276" w:lineRule="auto"/>
      </w:pPr>
      <w:r w:rsidRPr="005A00B3">
        <w:t>Chief Customer Consultant, GE Vernova</w:t>
      </w:r>
    </w:p>
    <w:p w:rsidR="00BF7C45" w:rsidRPr="00FD5A2D" w:rsidP="00FD5A2D">
      <w:pPr>
        <w:spacing w:after="0" w:line="276" w:lineRule="auto"/>
        <w:rPr>
          <w:sz w:val="24"/>
          <w:szCs w:val="24"/>
        </w:rPr>
      </w:pPr>
      <w:r w:rsidRPr="00FD5A2D">
        <w:rPr>
          <w:sz w:val="24"/>
          <w:szCs w:val="24"/>
        </w:rPr>
        <w:t>Tom Freeman has worked in the aerospace and energy industries for over forty years. He began his engineering career at Pratt &amp; Whitney working primarily on X-planes in hypersonic propulsion. In 1999, he joined GE design engineering in Greenville, progressing to a life altering customer facing role in services engineering in Atlanta, ultimately rising to Gas Turbine Leader where he led a global team of over 100 great engineers in support of the entire GE heavy duty gas turbine fleet. Over the last decade, Tom has served in various global commercial roles as an innovative technical expert for all technologies. He is quite well known to the various user communities for his passion and leadership in our industry.</w:t>
      </w:r>
    </w:p>
    <w:p w:rsidR="00BF7C45" w:rsidRPr="00FD5A2D" w:rsidP="00FD5A2D">
      <w:pPr>
        <w:spacing w:after="0" w:line="276" w:lineRule="auto"/>
        <w:rPr>
          <w:sz w:val="24"/>
          <w:szCs w:val="24"/>
        </w:rPr>
      </w:pPr>
    </w:p>
    <w:p w:rsidR="00BF7C45" w:rsidRPr="00FD5A2D" w:rsidP="00FD5A2D">
      <w:pPr>
        <w:spacing w:after="0" w:line="276" w:lineRule="auto"/>
        <w:rPr>
          <w:sz w:val="24"/>
          <w:szCs w:val="24"/>
        </w:rPr>
      </w:pPr>
      <w:r w:rsidRPr="00FD5A2D">
        <w:rPr>
          <w:sz w:val="24"/>
          <w:szCs w:val="24"/>
        </w:rPr>
        <w:t>Tom is married to Jerri and, just as in the cartoon, Jerri wins every episode. They have three grown children and five grandchildren.</w:t>
      </w:r>
    </w:p>
    <w:p w:rsidR="00BF7C45" w:rsidRPr="00FD5A2D" w:rsidP="00FD5A2D">
      <w:pPr>
        <w:spacing w:after="0" w:line="276" w:lineRule="auto"/>
        <w:rPr>
          <w:sz w:val="24"/>
          <w:szCs w:val="24"/>
        </w:rPr>
      </w:pPr>
    </w:p>
    <w:sectPr w:rsidSect="009E2F5E">
      <w:headerReference w:type="default" r:id="rId11"/>
      <w:footerReference w:type="default" r:id="rId12"/>
      <w:pgSz w:w="12240" w:h="15840" w:code="1"/>
      <w:pgMar w:top="2430" w:right="1440" w:bottom="1350" w:left="1440"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4105">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ext Box 3" o:spid="_x0000_s2050" style="width:70.95pt;height:21.2pt;margin-top:-25.32pt;margin-left:421.5pt;mso-height-percent:0;mso-height-relative:margin;mso-width-percent:0;mso-width-relative:margin;mso-wrap-distance-bottom:0;mso-wrap-distance-left:9pt;mso-wrap-distance-right:9pt;mso-wrap-distance-top:0;position:absolute;v-text-anchor:top;z-index:251660288" filled="f" fillcolor="this" stroked="f" strokeweight="0.5pt"/>
          </w:pict>
        </mc:Fallback>
      </mc:AlternateContent>
    </w:r>
    <w:r w:rsidRPr="007F0F69">
      <w:rPr>
        <w:noProof/>
      </w:rPr>
      <w:drawing>
        <wp:anchor distT="0" distB="0" distL="114300" distR="114300" simplePos="0" relativeHeight="251659264" behindDoc="1" locked="0" layoutInCell="1" allowOverlap="1">
          <wp:simplePos x="0" y="0"/>
          <wp:positionH relativeFrom="column">
            <wp:posOffset>-925754</wp:posOffset>
          </wp:positionH>
          <wp:positionV relativeFrom="paragraph">
            <wp:posOffset>-683358</wp:posOffset>
          </wp:positionV>
          <wp:extent cx="7798777" cy="1100327"/>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5E5" w:rsidRPr="001255E5"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59264" behindDoc="1" locked="0" layoutInCell="1" allowOverlap="1">
          <wp:simplePos x="0" y="0"/>
          <wp:positionH relativeFrom="column">
            <wp:posOffset>-424912</wp:posOffset>
          </wp:positionH>
          <wp:positionV relativeFrom="paragraph">
            <wp:posOffset>-2540</wp:posOffset>
          </wp:positionV>
          <wp:extent cx="2766060" cy="97011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r="59912"/>
                  <a:stretch>
                    <a:fillRect/>
                  </a:stretch>
                </pic:blipFill>
                <pic:spPr bwMode="auto">
                  <a:xfrm>
                    <a:off x="0" y="0"/>
                    <a:ext cx="2766060" cy="9701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040D" w:rsidR="0092040D">
      <w:t xml:space="preserve"> </w:t>
    </w:r>
  </w:p>
  <w:p w:rsidR="003D4105" w:rsidP="003D4105">
    <w:pPr>
      <w:pStyle w:val="Header"/>
      <w:jc w:val="both"/>
    </w:pPr>
    <w:r w:rsidRPr="007F2C0D">
      <w:rPr>
        <w:noProof/>
      </w:rPr>
      <mc:AlternateContent>
        <mc:Choice Requires="wps">
          <w:drawing>
            <wp:anchor distT="0" distB="0" distL="114300" distR="114300" simplePos="0" relativeHeight="251658240" behindDoc="0" locked="0" layoutInCell="1" allowOverlap="1">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49" style="flip:x;mso-height-percent:0;mso-height-relative:margin;mso-width-percent:0;mso-width-relative:margin;mso-wrap-distance-bottom:0;mso-wrap-distance-left:9pt;mso-wrap-distance-right:9pt;mso-wrap-distance-top:0;mso-wrap-style:square;position:absolute;visibility:visible;z-index:251660288" from="86.9pt,37.85pt" to="482.9pt,40.1pt"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nsid w:val="15174734"/>
    <w:multiLevelType w:val="hybridMultilevel"/>
    <w:tmpl w:val="C9D20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5C6B5C"/>
    <w:multiLevelType w:val="hybridMultilevel"/>
    <w:tmpl w:val="9C20F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B4DDA"/>
    <w:multiLevelType w:val="hybridMultilevel"/>
    <w:tmpl w:val="6B1814F2"/>
    <w:lvl w:ilvl="0">
      <w:start w:val="1"/>
      <w:numFmt w:val="bullet"/>
      <w:pStyle w:val="List-BulletsBOLD"/>
      <w:lvlText w:val=""/>
      <w:lvlJc w:val="left"/>
      <w:pPr>
        <w:ind w:left="720" w:hanging="360"/>
      </w:pPr>
      <w:rPr>
        <w:rFonts w:ascii="Symbol" w:hAnsi="Symbol" w:hint="default"/>
        <w:color w:val="008FC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A862CA"/>
    <w:multiLevelType w:val="hybridMultilevel"/>
    <w:tmpl w:val="41629CF8"/>
    <w:lvl w:ilvl="0">
      <w:start w:val="1"/>
      <w:numFmt w:val="bullet"/>
      <w:lvlText w:val=""/>
      <w:lvlJc w:val="left"/>
      <w:pPr>
        <w:ind w:left="1416" w:hanging="360"/>
      </w:pPr>
      <w:rPr>
        <w:rFonts w:ascii="Symbol" w:hAnsi="Symbol" w:hint="default"/>
      </w:rPr>
    </w:lvl>
    <w:lvl w:ilvl="1" w:tentative="1">
      <w:start w:val="1"/>
      <w:numFmt w:val="bullet"/>
      <w:lvlText w:val="o"/>
      <w:lvlJc w:val="left"/>
      <w:pPr>
        <w:ind w:left="2136" w:hanging="360"/>
      </w:pPr>
      <w:rPr>
        <w:rFonts w:ascii="Courier New" w:hAnsi="Courier New" w:cs="Courier New" w:hint="default"/>
      </w:rPr>
    </w:lvl>
    <w:lvl w:ilvl="2" w:tentative="1">
      <w:start w:val="1"/>
      <w:numFmt w:val="bullet"/>
      <w:lvlText w:val=""/>
      <w:lvlJc w:val="left"/>
      <w:pPr>
        <w:ind w:left="2856" w:hanging="360"/>
      </w:pPr>
      <w:rPr>
        <w:rFonts w:ascii="Wingdings" w:hAnsi="Wingdings" w:hint="default"/>
      </w:rPr>
    </w:lvl>
    <w:lvl w:ilvl="3" w:tentative="1">
      <w:start w:val="1"/>
      <w:numFmt w:val="bullet"/>
      <w:lvlText w:val=""/>
      <w:lvlJc w:val="left"/>
      <w:pPr>
        <w:ind w:left="3576" w:hanging="360"/>
      </w:pPr>
      <w:rPr>
        <w:rFonts w:ascii="Symbol" w:hAnsi="Symbol" w:hint="default"/>
      </w:rPr>
    </w:lvl>
    <w:lvl w:ilvl="4" w:tentative="1">
      <w:start w:val="1"/>
      <w:numFmt w:val="bullet"/>
      <w:lvlText w:val="o"/>
      <w:lvlJc w:val="left"/>
      <w:pPr>
        <w:ind w:left="4296" w:hanging="360"/>
      </w:pPr>
      <w:rPr>
        <w:rFonts w:ascii="Courier New" w:hAnsi="Courier New" w:cs="Courier New" w:hint="default"/>
      </w:rPr>
    </w:lvl>
    <w:lvl w:ilvl="5" w:tentative="1">
      <w:start w:val="1"/>
      <w:numFmt w:val="bullet"/>
      <w:lvlText w:val=""/>
      <w:lvlJc w:val="left"/>
      <w:pPr>
        <w:ind w:left="5016" w:hanging="360"/>
      </w:pPr>
      <w:rPr>
        <w:rFonts w:ascii="Wingdings" w:hAnsi="Wingdings" w:hint="default"/>
      </w:rPr>
    </w:lvl>
    <w:lvl w:ilvl="6" w:tentative="1">
      <w:start w:val="1"/>
      <w:numFmt w:val="bullet"/>
      <w:lvlText w:val=""/>
      <w:lvlJc w:val="left"/>
      <w:pPr>
        <w:ind w:left="5736" w:hanging="360"/>
      </w:pPr>
      <w:rPr>
        <w:rFonts w:ascii="Symbol" w:hAnsi="Symbol" w:hint="default"/>
      </w:rPr>
    </w:lvl>
    <w:lvl w:ilvl="7" w:tentative="1">
      <w:start w:val="1"/>
      <w:numFmt w:val="bullet"/>
      <w:lvlText w:val="o"/>
      <w:lvlJc w:val="left"/>
      <w:pPr>
        <w:ind w:left="6456" w:hanging="360"/>
      </w:pPr>
      <w:rPr>
        <w:rFonts w:ascii="Courier New" w:hAnsi="Courier New" w:cs="Courier New" w:hint="default"/>
      </w:rPr>
    </w:lvl>
    <w:lvl w:ilvl="8" w:tentative="1">
      <w:start w:val="1"/>
      <w:numFmt w:val="bullet"/>
      <w:lvlText w:val=""/>
      <w:lvlJc w:val="left"/>
      <w:pPr>
        <w:ind w:left="7176" w:hanging="360"/>
      </w:pPr>
      <w:rPr>
        <w:rFonts w:ascii="Wingdings" w:hAnsi="Wingdings" w:hint="default"/>
      </w:rPr>
    </w:lvl>
  </w:abstractNum>
  <w:abstractNum w:abstractNumId="5">
    <w:nsid w:val="3761435D"/>
    <w:multiLevelType w:val="hybridMultilevel"/>
    <w:tmpl w:val="227C4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82154B2"/>
    <w:multiLevelType w:val="hybridMultilevel"/>
    <w:tmpl w:val="DEC021C4"/>
    <w:lvl w:ilvl="0">
      <w:start w:val="1"/>
      <w:numFmt w:val="bullet"/>
      <w:lvlText w:val=""/>
      <w:lvlJc w:val="left"/>
      <w:pPr>
        <w:ind w:left="1776" w:hanging="360"/>
      </w:pPr>
      <w:rPr>
        <w:rFonts w:ascii="Symbol" w:hAnsi="Symbol"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7">
    <w:nsid w:val="53B05125"/>
    <w:multiLevelType w:val="hybridMultilevel"/>
    <w:tmpl w:val="59C2EAB0"/>
    <w:lvl w:ilvl="0">
      <w:start w:val="1"/>
      <w:numFmt w:val="bullet"/>
      <w:lvlText w:val=""/>
      <w:lvlJc w:val="left"/>
      <w:pPr>
        <w:ind w:left="-180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1080" w:hanging="360"/>
      </w:pPr>
      <w:rPr>
        <w:rFonts w:ascii="Courier New" w:hAnsi="Courier New" w:cs="Courier New"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8">
    <w:nsid w:val="6054427B"/>
    <w:multiLevelType w:val="hybridMultilevel"/>
    <w:tmpl w:val="43DA7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A83F89"/>
    <w:multiLevelType w:val="hybridMultilevel"/>
    <w:tmpl w:val="32ECE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4012847"/>
    <w:multiLevelType w:val="hybridMultilevel"/>
    <w:tmpl w:val="DF685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3"/>
  </w:num>
  <w:num w:numId="5">
    <w:abstractNumId w:val="2"/>
  </w:num>
  <w:num w:numId="6">
    <w:abstractNumId w:val="5"/>
  </w:num>
  <w:num w:numId="7">
    <w:abstractNumId w:val="1"/>
  </w:num>
  <w:num w:numId="8">
    <w:abstractNumId w:val="9"/>
  </w:num>
  <w:num w:numId="9">
    <w:abstractNumId w:val="7"/>
  </w:num>
  <w:num w:numId="10">
    <w:abstractNumId w:val="7"/>
  </w:num>
  <w:num w:numId="11">
    <w:abstractNumId w:val="4"/>
  </w:num>
  <w:num w:numId="12">
    <w:abstractNumId w:val="6"/>
  </w:num>
  <w:num w:numId="13">
    <w:abstractNumId w:val="1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173E3"/>
    <w:rsid w:val="000223E5"/>
    <w:rsid w:val="00024295"/>
    <w:rsid w:val="000560B3"/>
    <w:rsid w:val="00060900"/>
    <w:rsid w:val="00061CE3"/>
    <w:rsid w:val="0006415C"/>
    <w:rsid w:val="0006438E"/>
    <w:rsid w:val="00076DEF"/>
    <w:rsid w:val="00094698"/>
    <w:rsid w:val="00097A43"/>
    <w:rsid w:val="000A7BC6"/>
    <w:rsid w:val="000B4D35"/>
    <w:rsid w:val="000B550B"/>
    <w:rsid w:val="000B6071"/>
    <w:rsid w:val="000D2908"/>
    <w:rsid w:val="000D4772"/>
    <w:rsid w:val="000D6B8C"/>
    <w:rsid w:val="000E3270"/>
    <w:rsid w:val="000E717E"/>
    <w:rsid w:val="000F6552"/>
    <w:rsid w:val="001057B9"/>
    <w:rsid w:val="00106366"/>
    <w:rsid w:val="001255E5"/>
    <w:rsid w:val="00126AB2"/>
    <w:rsid w:val="0013349C"/>
    <w:rsid w:val="00141DF0"/>
    <w:rsid w:val="00161265"/>
    <w:rsid w:val="0016377C"/>
    <w:rsid w:val="00164B2A"/>
    <w:rsid w:val="00170FC7"/>
    <w:rsid w:val="00172151"/>
    <w:rsid w:val="00172BED"/>
    <w:rsid w:val="001742D2"/>
    <w:rsid w:val="00174D94"/>
    <w:rsid w:val="00181993"/>
    <w:rsid w:val="001900AC"/>
    <w:rsid w:val="001B45F4"/>
    <w:rsid w:val="001C256E"/>
    <w:rsid w:val="001C6162"/>
    <w:rsid w:val="001C7C1B"/>
    <w:rsid w:val="001F34D6"/>
    <w:rsid w:val="0020536E"/>
    <w:rsid w:val="0020644E"/>
    <w:rsid w:val="00222E68"/>
    <w:rsid w:val="0022403B"/>
    <w:rsid w:val="00225C6D"/>
    <w:rsid w:val="002322E3"/>
    <w:rsid w:val="00257043"/>
    <w:rsid w:val="002706B9"/>
    <w:rsid w:val="00271923"/>
    <w:rsid w:val="00285852"/>
    <w:rsid w:val="0028647B"/>
    <w:rsid w:val="00290D7D"/>
    <w:rsid w:val="002A450E"/>
    <w:rsid w:val="002A548F"/>
    <w:rsid w:val="002A5D27"/>
    <w:rsid w:val="002A6800"/>
    <w:rsid w:val="002A7F1D"/>
    <w:rsid w:val="002C1454"/>
    <w:rsid w:val="002C1EE9"/>
    <w:rsid w:val="002C473F"/>
    <w:rsid w:val="002D0E57"/>
    <w:rsid w:val="002E26CE"/>
    <w:rsid w:val="002E38CB"/>
    <w:rsid w:val="002F0990"/>
    <w:rsid w:val="0030038F"/>
    <w:rsid w:val="00302C18"/>
    <w:rsid w:val="00304310"/>
    <w:rsid w:val="00304B4C"/>
    <w:rsid w:val="00321CD0"/>
    <w:rsid w:val="00325104"/>
    <w:rsid w:val="00325929"/>
    <w:rsid w:val="003315F7"/>
    <w:rsid w:val="00335412"/>
    <w:rsid w:val="003369D8"/>
    <w:rsid w:val="003443D2"/>
    <w:rsid w:val="00366416"/>
    <w:rsid w:val="003715EE"/>
    <w:rsid w:val="003822BB"/>
    <w:rsid w:val="00384E0F"/>
    <w:rsid w:val="0039374D"/>
    <w:rsid w:val="00393A10"/>
    <w:rsid w:val="003D4105"/>
    <w:rsid w:val="003E0317"/>
    <w:rsid w:val="003E0E20"/>
    <w:rsid w:val="003E745B"/>
    <w:rsid w:val="003E7F0D"/>
    <w:rsid w:val="003F0D18"/>
    <w:rsid w:val="004061E5"/>
    <w:rsid w:val="004142E1"/>
    <w:rsid w:val="00416AB8"/>
    <w:rsid w:val="00427380"/>
    <w:rsid w:val="0043059A"/>
    <w:rsid w:val="004B152D"/>
    <w:rsid w:val="004B241A"/>
    <w:rsid w:val="004C0BA7"/>
    <w:rsid w:val="004C2365"/>
    <w:rsid w:val="004C26A0"/>
    <w:rsid w:val="004D3AD0"/>
    <w:rsid w:val="004F32EE"/>
    <w:rsid w:val="00502A28"/>
    <w:rsid w:val="00513EA4"/>
    <w:rsid w:val="00514D9D"/>
    <w:rsid w:val="005204F1"/>
    <w:rsid w:val="00541264"/>
    <w:rsid w:val="00542611"/>
    <w:rsid w:val="00553514"/>
    <w:rsid w:val="00555A33"/>
    <w:rsid w:val="005823EC"/>
    <w:rsid w:val="00584E9C"/>
    <w:rsid w:val="00587901"/>
    <w:rsid w:val="005A00B3"/>
    <w:rsid w:val="005A0C7F"/>
    <w:rsid w:val="005B0FAA"/>
    <w:rsid w:val="005C0040"/>
    <w:rsid w:val="005D1FDD"/>
    <w:rsid w:val="005D32C2"/>
    <w:rsid w:val="005D5D2C"/>
    <w:rsid w:val="005D5E4C"/>
    <w:rsid w:val="005E49EA"/>
    <w:rsid w:val="006023DC"/>
    <w:rsid w:val="0062331D"/>
    <w:rsid w:val="0062673A"/>
    <w:rsid w:val="0063363B"/>
    <w:rsid w:val="00637E06"/>
    <w:rsid w:val="006409A3"/>
    <w:rsid w:val="00645518"/>
    <w:rsid w:val="0065274F"/>
    <w:rsid w:val="00660626"/>
    <w:rsid w:val="00663A7A"/>
    <w:rsid w:val="0067405A"/>
    <w:rsid w:val="00675884"/>
    <w:rsid w:val="00675FD9"/>
    <w:rsid w:val="00686B3F"/>
    <w:rsid w:val="006A0ABC"/>
    <w:rsid w:val="006B2D86"/>
    <w:rsid w:val="006B3928"/>
    <w:rsid w:val="006B4721"/>
    <w:rsid w:val="006B69B4"/>
    <w:rsid w:val="006C45CA"/>
    <w:rsid w:val="006C758B"/>
    <w:rsid w:val="006E0348"/>
    <w:rsid w:val="00706D90"/>
    <w:rsid w:val="007202C2"/>
    <w:rsid w:val="00725856"/>
    <w:rsid w:val="00731B4F"/>
    <w:rsid w:val="00747FE2"/>
    <w:rsid w:val="0075182B"/>
    <w:rsid w:val="0075741F"/>
    <w:rsid w:val="007735AE"/>
    <w:rsid w:val="007736CE"/>
    <w:rsid w:val="00785A05"/>
    <w:rsid w:val="00791CE2"/>
    <w:rsid w:val="007A18CA"/>
    <w:rsid w:val="007A5FB1"/>
    <w:rsid w:val="007B24D1"/>
    <w:rsid w:val="007B712E"/>
    <w:rsid w:val="007C343A"/>
    <w:rsid w:val="007D66F4"/>
    <w:rsid w:val="007E0F68"/>
    <w:rsid w:val="007E6B86"/>
    <w:rsid w:val="007F0F69"/>
    <w:rsid w:val="007F2C0D"/>
    <w:rsid w:val="007F4FE3"/>
    <w:rsid w:val="0080681A"/>
    <w:rsid w:val="008322A6"/>
    <w:rsid w:val="0083495E"/>
    <w:rsid w:val="008401EA"/>
    <w:rsid w:val="008414B8"/>
    <w:rsid w:val="00844FD6"/>
    <w:rsid w:val="008452BF"/>
    <w:rsid w:val="008509E1"/>
    <w:rsid w:val="008673B1"/>
    <w:rsid w:val="00877924"/>
    <w:rsid w:val="008831C8"/>
    <w:rsid w:val="008865C8"/>
    <w:rsid w:val="00891346"/>
    <w:rsid w:val="008C41AE"/>
    <w:rsid w:val="008D5771"/>
    <w:rsid w:val="008E3D49"/>
    <w:rsid w:val="008E5114"/>
    <w:rsid w:val="008F56A4"/>
    <w:rsid w:val="0091105F"/>
    <w:rsid w:val="009128B1"/>
    <w:rsid w:val="0092040D"/>
    <w:rsid w:val="009206E0"/>
    <w:rsid w:val="009242A9"/>
    <w:rsid w:val="00927783"/>
    <w:rsid w:val="00934874"/>
    <w:rsid w:val="00945303"/>
    <w:rsid w:val="009503ED"/>
    <w:rsid w:val="00953524"/>
    <w:rsid w:val="00957D9E"/>
    <w:rsid w:val="00962451"/>
    <w:rsid w:val="00964C59"/>
    <w:rsid w:val="00970DC3"/>
    <w:rsid w:val="00974B59"/>
    <w:rsid w:val="00991B00"/>
    <w:rsid w:val="009A0D00"/>
    <w:rsid w:val="009A11E6"/>
    <w:rsid w:val="009A7C47"/>
    <w:rsid w:val="009B0851"/>
    <w:rsid w:val="009C0854"/>
    <w:rsid w:val="009D4CC4"/>
    <w:rsid w:val="009E0822"/>
    <w:rsid w:val="009E2F5E"/>
    <w:rsid w:val="009E76D4"/>
    <w:rsid w:val="009F0066"/>
    <w:rsid w:val="009F5691"/>
    <w:rsid w:val="009F7AAF"/>
    <w:rsid w:val="00A00FB7"/>
    <w:rsid w:val="00A174BD"/>
    <w:rsid w:val="00A2763B"/>
    <w:rsid w:val="00A34B39"/>
    <w:rsid w:val="00A40F80"/>
    <w:rsid w:val="00A43CBB"/>
    <w:rsid w:val="00A45A6B"/>
    <w:rsid w:val="00A5405D"/>
    <w:rsid w:val="00A549BA"/>
    <w:rsid w:val="00A60001"/>
    <w:rsid w:val="00A65BAA"/>
    <w:rsid w:val="00A70C62"/>
    <w:rsid w:val="00A71062"/>
    <w:rsid w:val="00A80E04"/>
    <w:rsid w:val="00A87D55"/>
    <w:rsid w:val="00A911C9"/>
    <w:rsid w:val="00A94210"/>
    <w:rsid w:val="00A9799D"/>
    <w:rsid w:val="00AA1FD2"/>
    <w:rsid w:val="00AB578A"/>
    <w:rsid w:val="00AB6225"/>
    <w:rsid w:val="00AB73F4"/>
    <w:rsid w:val="00AB7DE5"/>
    <w:rsid w:val="00AC04FB"/>
    <w:rsid w:val="00AD5756"/>
    <w:rsid w:val="00AD5DCA"/>
    <w:rsid w:val="00AE4360"/>
    <w:rsid w:val="00B01683"/>
    <w:rsid w:val="00B06FF9"/>
    <w:rsid w:val="00B12F68"/>
    <w:rsid w:val="00B26ADF"/>
    <w:rsid w:val="00B304F4"/>
    <w:rsid w:val="00B4186B"/>
    <w:rsid w:val="00B769BB"/>
    <w:rsid w:val="00B941D3"/>
    <w:rsid w:val="00B977C4"/>
    <w:rsid w:val="00BA7949"/>
    <w:rsid w:val="00BC234C"/>
    <w:rsid w:val="00BC41C2"/>
    <w:rsid w:val="00BE2D6E"/>
    <w:rsid w:val="00BE4154"/>
    <w:rsid w:val="00BE7353"/>
    <w:rsid w:val="00BF7C45"/>
    <w:rsid w:val="00C21694"/>
    <w:rsid w:val="00C35215"/>
    <w:rsid w:val="00C3750A"/>
    <w:rsid w:val="00C37FE9"/>
    <w:rsid w:val="00C403AF"/>
    <w:rsid w:val="00C44690"/>
    <w:rsid w:val="00C52CE5"/>
    <w:rsid w:val="00C549D1"/>
    <w:rsid w:val="00C80D13"/>
    <w:rsid w:val="00C835B1"/>
    <w:rsid w:val="00C8490F"/>
    <w:rsid w:val="00C865E4"/>
    <w:rsid w:val="00C86B8E"/>
    <w:rsid w:val="00C87100"/>
    <w:rsid w:val="00C87F71"/>
    <w:rsid w:val="00CB195F"/>
    <w:rsid w:val="00CB66C2"/>
    <w:rsid w:val="00CC01C8"/>
    <w:rsid w:val="00CC509E"/>
    <w:rsid w:val="00CE2B04"/>
    <w:rsid w:val="00CE43AF"/>
    <w:rsid w:val="00CE5F63"/>
    <w:rsid w:val="00D058D7"/>
    <w:rsid w:val="00D10BCC"/>
    <w:rsid w:val="00D122FD"/>
    <w:rsid w:val="00D24F65"/>
    <w:rsid w:val="00D4530E"/>
    <w:rsid w:val="00D606C9"/>
    <w:rsid w:val="00D64A16"/>
    <w:rsid w:val="00D769DD"/>
    <w:rsid w:val="00D83059"/>
    <w:rsid w:val="00DC176C"/>
    <w:rsid w:val="00DC5816"/>
    <w:rsid w:val="00DD0592"/>
    <w:rsid w:val="00DD182D"/>
    <w:rsid w:val="00DE1285"/>
    <w:rsid w:val="00DE44B2"/>
    <w:rsid w:val="00DE72C4"/>
    <w:rsid w:val="00DF2BD8"/>
    <w:rsid w:val="00DF498A"/>
    <w:rsid w:val="00DF5CA3"/>
    <w:rsid w:val="00E00A25"/>
    <w:rsid w:val="00E0186D"/>
    <w:rsid w:val="00E13991"/>
    <w:rsid w:val="00E13B6B"/>
    <w:rsid w:val="00E15001"/>
    <w:rsid w:val="00E24E86"/>
    <w:rsid w:val="00E2720C"/>
    <w:rsid w:val="00E272D7"/>
    <w:rsid w:val="00E36D53"/>
    <w:rsid w:val="00E407D0"/>
    <w:rsid w:val="00E47890"/>
    <w:rsid w:val="00E50017"/>
    <w:rsid w:val="00E66A25"/>
    <w:rsid w:val="00E67857"/>
    <w:rsid w:val="00E72492"/>
    <w:rsid w:val="00E81B01"/>
    <w:rsid w:val="00EB74AC"/>
    <w:rsid w:val="00EC23CA"/>
    <w:rsid w:val="00EC3108"/>
    <w:rsid w:val="00ED0636"/>
    <w:rsid w:val="00ED097E"/>
    <w:rsid w:val="00ED5444"/>
    <w:rsid w:val="00EE46F5"/>
    <w:rsid w:val="00EF3211"/>
    <w:rsid w:val="00EF46BC"/>
    <w:rsid w:val="00F008DD"/>
    <w:rsid w:val="00F00A31"/>
    <w:rsid w:val="00F079E3"/>
    <w:rsid w:val="00F13378"/>
    <w:rsid w:val="00F32A71"/>
    <w:rsid w:val="00F42EF9"/>
    <w:rsid w:val="00F54D5E"/>
    <w:rsid w:val="00F70230"/>
    <w:rsid w:val="00F920B8"/>
    <w:rsid w:val="00F9556F"/>
    <w:rsid w:val="00FB3293"/>
    <w:rsid w:val="00FC0DA2"/>
    <w:rsid w:val="00FC64BB"/>
    <w:rsid w:val="00FC6991"/>
    <w:rsid w:val="00FD5A2D"/>
    <w:rsid w:val="00FE3DD4"/>
    <w:rsid w:val="00FE7E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paragraph" w:styleId="Heading5">
    <w:name w:val="heading 5"/>
    <w:basedOn w:val="Normal"/>
    <w:next w:val="Normal"/>
    <w:link w:val="Heading5Char"/>
    <w:uiPriority w:val="9"/>
    <w:semiHidden/>
    <w:unhideWhenUsed/>
    <w:qFormat/>
    <w:rsid w:val="00097A43"/>
    <w:pPr>
      <w:keepNext/>
      <w:keepLines/>
      <w:spacing w:before="40" w:after="0"/>
      <w:outlineLvl w:val="4"/>
    </w:pPr>
    <w:rPr>
      <w:rFonts w:asciiTheme="majorHAnsi" w:eastAsiaTheme="majorEastAsia" w:hAnsiTheme="majorHAnsi" w:cstheme="majorBidi"/>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qFormat/>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 w:type="character" w:styleId="Emphasis">
    <w:name w:val="Emphasis"/>
    <w:basedOn w:val="DefaultParagraphFont"/>
    <w:uiPriority w:val="20"/>
    <w:qFormat/>
    <w:rsid w:val="001B45F4"/>
    <w:rPr>
      <w:i/>
      <w:iCs/>
    </w:rPr>
  </w:style>
  <w:style w:type="character" w:customStyle="1" w:styleId="Heading5Char">
    <w:name w:val="Heading 5 Char"/>
    <w:basedOn w:val="DefaultParagraphFont"/>
    <w:link w:val="Heading5"/>
    <w:uiPriority w:val="9"/>
    <w:semiHidden/>
    <w:rsid w:val="00097A43"/>
    <w:rPr>
      <w:rFonts w:asciiTheme="majorHAnsi" w:eastAsiaTheme="majorEastAsia" w:hAnsiTheme="majorHAnsi" w:cstheme="majorBidi"/>
      <w:color w:val="00264C" w:themeColor="accent1" w:themeShade="BF"/>
    </w:rPr>
  </w:style>
  <w:style w:type="paragraph" w:styleId="FootnoteText">
    <w:name w:val="footnote text"/>
    <w:basedOn w:val="Normal"/>
    <w:link w:val="FootnoteTextChar"/>
    <w:uiPriority w:val="99"/>
    <w:semiHidden/>
    <w:unhideWhenUsed/>
    <w:rsid w:val="0020644E"/>
    <w:pPr>
      <w:spacing w:after="0" w:line="240" w:lineRule="auto"/>
    </w:pPr>
    <w:rPr>
      <w:rFonts w:eastAsia="Times New Roman" w:asciiTheme="minorHAnsi" w:hAnsiTheme="minorHAnsi"/>
      <w:sz w:val="20"/>
      <w:szCs w:val="20"/>
      <w:lang w:bidi="he-IL"/>
    </w:rPr>
  </w:style>
  <w:style w:type="character" w:customStyle="1" w:styleId="FootnoteTextChar">
    <w:name w:val="Footnote Text Char"/>
    <w:basedOn w:val="DefaultParagraphFont"/>
    <w:link w:val="FootnoteText"/>
    <w:uiPriority w:val="99"/>
    <w:semiHidden/>
    <w:rsid w:val="0020644E"/>
    <w:rPr>
      <w:rFonts w:cs="Times New Roman"/>
      <w:sz w:val="20"/>
      <w:szCs w:val="20"/>
      <w:lang w:bidi="he-IL"/>
    </w:rPr>
  </w:style>
  <w:style w:type="character" w:styleId="FootnoteReference">
    <w:name w:val="footnote reference"/>
    <w:basedOn w:val="DefaultParagraphFont"/>
    <w:uiPriority w:val="99"/>
    <w:semiHidden/>
    <w:unhideWhenUsed/>
    <w:rsid w:val="002064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9.png" /></Relationships>
</file>

<file path=word/_rels/header1.xml.rels><?xml version="1.0" encoding="utf-8" standalone="yes"?><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