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F61116" w:rsidRPr="000A3051" w:rsidP="00C21A31" w14:paraId="46969B45" w14:textId="77777777">
      <w:pPr>
        <w:spacing w:line="22" w:lineRule="atLeast"/>
        <w:ind w:left="120" w:right="4687"/>
        <w:rPr>
          <w:b/>
        </w:rPr>
      </w:pPr>
      <w:r>
        <w:rPr>
          <w:b/>
        </w:rPr>
        <w:t>Independent State Agencies Committee Conference Call</w:t>
      </w:r>
    </w:p>
    <w:p w:rsidR="00F61116" w:rsidRPr="000A3051" w:rsidP="00C21A31" w14:paraId="46969B46" w14:textId="64364C89">
      <w:pPr>
        <w:spacing w:line="22" w:lineRule="atLeast"/>
        <w:ind w:left="120" w:right="4570"/>
        <w:rPr>
          <w:b/>
        </w:rPr>
      </w:pPr>
      <w:r>
        <w:rPr>
          <w:b/>
        </w:rPr>
        <w:t>June 8, 2026, 3:00 – 4:00 pm EDT</w:t>
      </w:r>
    </w:p>
    <w:p w:rsidR="00F61116" w:rsidRPr="000A3051" w:rsidP="00C21A31" w14:paraId="46969B47" w14:textId="77777777">
      <w:pPr>
        <w:pStyle w:val="BodyText"/>
        <w:spacing w:line="22" w:lineRule="atLeast"/>
        <w:rPr>
          <w:b/>
          <w:i/>
          <w:iCs/>
        </w:rPr>
      </w:pPr>
    </w:p>
    <w:p w:rsidR="00D03F1A" w:rsidRPr="000A3051" w:rsidP="00D03F1A" w14:paraId="1F4FE6D7" w14:textId="77777777">
      <w:pPr>
        <w:spacing w:line="22" w:lineRule="atLeast"/>
        <w:ind w:left="120"/>
        <w:rPr>
          <w:b/>
        </w:rPr>
      </w:pPr>
      <w:r>
        <w:rPr>
          <w:b/>
          <w:spacing w:val="-2"/>
          <w:u w:val="thick"/>
        </w:rPr>
        <w:t>Administration</w:t>
      </w:r>
    </w:p>
    <w:p w:rsidR="00D03F1A" w:rsidRPr="000A3051" w:rsidP="00D03F1A" w14:paraId="5757820C" w14:textId="77777777">
      <w:pPr>
        <w:pStyle w:val="BodyText"/>
        <w:spacing w:line="22" w:lineRule="atLeast"/>
        <w:rPr>
          <w:b/>
        </w:rPr>
      </w:pPr>
    </w:p>
    <w:p w:rsidR="00D03F1A" w:rsidRPr="000A3051" w:rsidP="00D03F1A" w14:paraId="5324EC30" w14:textId="04F1F13C">
      <w:pPr>
        <w:spacing w:line="22" w:lineRule="atLeast"/>
        <w:ind w:left="839"/>
        <w:rPr>
          <w:b/>
        </w:rPr>
      </w:pPr>
      <w:r>
        <w:rPr>
          <w:b/>
        </w:rPr>
        <w:t>Welcome and</w:t>
      </w:r>
      <w:r>
        <w:rPr>
          <w:b/>
          <w:spacing w:val="-4"/>
        </w:rPr>
        <w:t xml:space="preserve"> </w:t>
      </w: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 April 20, 2026</w:t>
      </w:r>
      <w:r>
        <w:rPr>
          <w:b/>
          <w:spacing w:val="-4"/>
        </w:rPr>
        <w:t xml:space="preserve"> </w:t>
      </w:r>
      <w:r>
        <w:rPr>
          <w:b/>
        </w:rPr>
        <w:t>minutes</w:t>
      </w:r>
    </w:p>
    <w:p w:rsidR="00D03F1A" w:rsidRPr="000A3051" w:rsidP="00D03F1A" w14:paraId="085D6A6D" w14:textId="77777777">
      <w:pPr>
        <w:spacing w:line="22" w:lineRule="atLeast"/>
        <w:ind w:left="839"/>
        <w:rPr>
          <w:b/>
          <w:spacing w:val="-2"/>
        </w:rPr>
      </w:pPr>
      <w:r>
        <w:rPr>
          <w:b/>
          <w:spacing w:val="-2"/>
        </w:rPr>
        <w:t>Announcements</w:t>
      </w:r>
    </w:p>
    <w:p w:rsidR="00D03F1A" w:rsidRPr="000A3051" w:rsidP="00D03F1A" w14:paraId="02C8950B" w14:textId="77777777">
      <w:pPr>
        <w:spacing w:line="22" w:lineRule="atLeast"/>
        <w:rPr>
          <w:b/>
        </w:rPr>
      </w:pPr>
      <w:r>
        <w:rPr>
          <w:b/>
        </w:rPr>
        <w:t> </w:t>
      </w:r>
      <w:r>
        <w:rPr>
          <w:b/>
        </w:rPr>
        <w:tab/>
      </w:r>
      <w:r>
        <w:rPr>
          <w:b/>
        </w:rPr>
        <w:tab/>
      </w:r>
    </w:p>
    <w:p w:rsidR="00D03F1A" w:rsidRPr="000A3051" w:rsidP="00D03F1A" w14:paraId="640A785F" w14:textId="77777777">
      <w:pPr>
        <w:spacing w:line="22" w:lineRule="atLeast"/>
        <w:ind w:left="119"/>
        <w:rPr>
          <w:b/>
        </w:rPr>
      </w:pPr>
      <w:r>
        <w:rPr>
          <w:b/>
          <w:u w:val="thick"/>
        </w:rPr>
        <w:t>Discussion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Items</w:t>
      </w:r>
      <w:r>
        <w:rPr>
          <w:b/>
          <w:spacing w:val="-6"/>
          <w:u w:val="thick"/>
        </w:rPr>
        <w:t xml:space="preserve"> </w:t>
      </w:r>
      <w:r>
        <w:rPr>
          <w:b/>
          <w:spacing w:val="-2"/>
          <w:u w:val="thick"/>
        </w:rPr>
        <w:t>(3:00 – 4:00)</w:t>
      </w:r>
    </w:p>
    <w:p w:rsidR="00D03F1A" w:rsidP="00D03F1A" w14:paraId="00B8C942" w14:textId="77777777">
      <w:pPr>
        <w:pStyle w:val="xxmsolistparagraph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:rsidR="005B24DE" w:rsidP="00D72653" w14:paraId="1E80D42D" w14:textId="5DC2BFC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Using </w:t>
      </w:r>
      <w:r>
        <w:rPr>
          <w:b/>
          <w:bCs/>
        </w:rPr>
        <w:t xml:space="preserve">RTEP Modeling </w:t>
      </w:r>
      <w:r>
        <w:rPr>
          <w:b/>
          <w:bCs/>
        </w:rPr>
        <w:t>to inform Resource Adequacy</w:t>
      </w:r>
      <w:r>
        <w:rPr>
          <w:b/>
          <w:bCs/>
        </w:rPr>
        <w:t xml:space="preserve"> Analyses</w:t>
      </w:r>
    </w:p>
    <w:p w:rsidR="004C6BD4" w:rsidRPr="00587B27" w:rsidP="005B24DE" w14:paraId="0012E1F4" w14:textId="33DD2249">
      <w:pPr>
        <w:pStyle w:val="ListParagraph"/>
        <w:ind w:left="839" w:firstLine="0"/>
      </w:pPr>
      <w:r>
        <w:t xml:space="preserve">Susan McGill, PJM, will lead a discussion on ways to use PJM’s 2026 RTEP modeling — and PJM’s modeling more generally — to help states understand the </w:t>
      </w:r>
      <w:r w:rsidR="002F0692">
        <w:t>resource adequacy</w:t>
      </w:r>
      <w:r>
        <w:t xml:space="preserve"> impact</w:t>
      </w:r>
      <w:r w:rsidR="002F0692">
        <w:t>s</w:t>
      </w:r>
      <w:r>
        <w:t xml:space="preserve"> indicated </w:t>
      </w:r>
      <w:r w:rsidR="002F0692">
        <w:t xml:space="preserve">by </w:t>
      </w:r>
      <w:r w:rsidR="005C0E1E">
        <w:t>its</w:t>
      </w:r>
      <w:r>
        <w:t xml:space="preserve"> capacity expansion analysis. </w:t>
      </w:r>
    </w:p>
    <w:p w:rsidR="005B24DE" w:rsidP="005B24DE" w14:paraId="15194C57" w14:textId="77777777">
      <w:pPr>
        <w:pStyle w:val="ListParagraph"/>
        <w:ind w:left="839" w:firstLine="0"/>
        <w:rPr>
          <w:b/>
          <w:bCs/>
        </w:rPr>
      </w:pPr>
    </w:p>
    <w:p w:rsidR="00D72653" w:rsidP="00D72653" w14:paraId="2FDE2B0D" w14:textId="512860E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MD OPC Cost Allocation Complaint</w:t>
      </w:r>
    </w:p>
    <w:p w:rsidR="00DE3834" w:rsidP="004D60A0" w14:paraId="6908F5B0" w14:textId="5341A8D5">
      <w:pPr>
        <w:pStyle w:val="ListParagraph"/>
        <w:ind w:left="839" w:firstLine="0"/>
      </w:pPr>
      <w:r>
        <w:t xml:space="preserve">David Lapp and Phil Sussler, Maryland Office of People’s Counsel, will provide an update on Maryland OPC’s cost allocation complaint. Following </w:t>
      </w:r>
      <w:r w:rsidR="005C0E1E">
        <w:t xml:space="preserve">the </w:t>
      </w:r>
      <w:r>
        <w:t>presentation</w:t>
      </w:r>
      <w:r w:rsidR="005C0E1E">
        <w:t>,</w:t>
      </w:r>
      <w:r>
        <w:t xml:space="preserve"> ISAC members will have an opportunity for general discussion and questions on the complaint and on Order 1000 cost allocation more broadly.</w:t>
      </w:r>
    </w:p>
    <w:p w:rsidR="00D03F1A" w:rsidRPr="000A3051" w:rsidP="00D03F1A" w14:paraId="7DA49186" w14:textId="77777777">
      <w:pPr>
        <w:spacing w:line="22" w:lineRule="atLeast"/>
        <w:rPr>
          <w:b/>
          <w:u w:val="thick"/>
        </w:rPr>
      </w:pPr>
    </w:p>
    <w:p w:rsidR="00D03F1A" w:rsidRPr="000A3051" w:rsidP="00D03F1A" w14:paraId="2D6FBAD7" w14:textId="77777777">
      <w:pPr>
        <w:spacing w:line="22" w:lineRule="atLeast"/>
        <w:ind w:left="120"/>
        <w:rPr>
          <w:b/>
        </w:rPr>
      </w:pPr>
      <w:r>
        <w:rPr>
          <w:b/>
          <w:u w:val="thick"/>
        </w:rPr>
        <w:t>Future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Agenda</w:t>
      </w:r>
      <w:r>
        <w:rPr>
          <w:b/>
          <w:spacing w:val="-8"/>
          <w:u w:val="thick"/>
        </w:rPr>
        <w:t xml:space="preserve"> </w:t>
      </w:r>
      <w:r>
        <w:rPr>
          <w:b/>
          <w:spacing w:val="-2"/>
          <w:u w:val="thick"/>
        </w:rPr>
        <w:t>Items</w:t>
      </w:r>
    </w:p>
    <w:p w:rsidR="00D03F1A" w:rsidRPr="000A3051" w:rsidP="00D03F1A" w14:paraId="325F9902" w14:textId="77777777">
      <w:pPr>
        <w:pStyle w:val="BodyText"/>
        <w:spacing w:line="22" w:lineRule="atLeast"/>
        <w:rPr>
          <w:b/>
        </w:rPr>
      </w:pPr>
    </w:p>
    <w:p w:rsidR="00D03F1A" w:rsidRPr="000A3051" w:rsidP="00CB2922" w14:paraId="265B8BD9" w14:textId="4B8925FE">
      <w:pPr>
        <w:pStyle w:val="BodyText"/>
        <w:spacing w:line="22" w:lineRule="atLeast"/>
        <w:ind w:left="840" w:right="52"/>
      </w:pPr>
      <w:r>
        <w:t>Participants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for the next open meeting</w:t>
      </w:r>
      <w:r>
        <w:rPr>
          <w:bCs/>
          <w:u w:val="single"/>
        </w:rPr>
        <w:t>.</w:t>
      </w:r>
    </w:p>
    <w:sectPr>
      <w:type w:val="continuous"/>
      <w:pgSz w:w="12240" w:h="15840"/>
      <w:pgMar w:top="136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137517"/>
    <w:multiLevelType w:val="multilevel"/>
    <w:tmpl w:val="922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339BB"/>
    <w:multiLevelType w:val="multilevel"/>
    <w:tmpl w:val="0CE6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B6DC0"/>
    <w:multiLevelType w:val="hybridMultilevel"/>
    <w:tmpl w:val="1960F694"/>
    <w:lvl w:ilvl="0">
      <w:start w:val="0"/>
      <w:numFmt w:val="bullet"/>
      <w:lvlText w:val="-"/>
      <w:lvlJc w:val="left"/>
      <w:pPr>
        <w:ind w:left="179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">
    <w:nsid w:val="6CF41036"/>
    <w:multiLevelType w:val="hybridMultilevel"/>
    <w:tmpl w:val="140C6F54"/>
    <w:lvl w:ilvl="0">
      <w:start w:val="1"/>
      <w:numFmt w:val="decimal"/>
      <w:lvlText w:val="%1."/>
      <w:lvlJc w:val="left"/>
      <w:pPr>
        <w:ind w:left="839" w:hanging="3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2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6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4" w:hanging="36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16"/>
    <w:rsid w:val="00004E8E"/>
    <w:rsid w:val="00006EF6"/>
    <w:rsid w:val="0000752D"/>
    <w:rsid w:val="000075BE"/>
    <w:rsid w:val="00011B4E"/>
    <w:rsid w:val="000146B3"/>
    <w:rsid w:val="00014F2F"/>
    <w:rsid w:val="00015EDB"/>
    <w:rsid w:val="0003146A"/>
    <w:rsid w:val="0004227F"/>
    <w:rsid w:val="00043928"/>
    <w:rsid w:val="000441DD"/>
    <w:rsid w:val="000464BE"/>
    <w:rsid w:val="00050652"/>
    <w:rsid w:val="00051625"/>
    <w:rsid w:val="00052792"/>
    <w:rsid w:val="00066A2A"/>
    <w:rsid w:val="00070E84"/>
    <w:rsid w:val="00072E51"/>
    <w:rsid w:val="00083FB9"/>
    <w:rsid w:val="00086A25"/>
    <w:rsid w:val="000A0971"/>
    <w:rsid w:val="000A3051"/>
    <w:rsid w:val="000C0EB6"/>
    <w:rsid w:val="000C2A3B"/>
    <w:rsid w:val="000D3855"/>
    <w:rsid w:val="000D3BFA"/>
    <w:rsid w:val="00100F85"/>
    <w:rsid w:val="00111097"/>
    <w:rsid w:val="00130B27"/>
    <w:rsid w:val="00133778"/>
    <w:rsid w:val="00145C6D"/>
    <w:rsid w:val="0019529D"/>
    <w:rsid w:val="0019542D"/>
    <w:rsid w:val="001A14E2"/>
    <w:rsid w:val="001A46B7"/>
    <w:rsid w:val="001A719F"/>
    <w:rsid w:val="001A7D20"/>
    <w:rsid w:val="001C10F3"/>
    <w:rsid w:val="001C246C"/>
    <w:rsid w:val="001C4A83"/>
    <w:rsid w:val="001E1028"/>
    <w:rsid w:val="001E22E5"/>
    <w:rsid w:val="001E6C1E"/>
    <w:rsid w:val="002046E0"/>
    <w:rsid w:val="00211963"/>
    <w:rsid w:val="00217DC8"/>
    <w:rsid w:val="00223CF7"/>
    <w:rsid w:val="002308B0"/>
    <w:rsid w:val="002522F8"/>
    <w:rsid w:val="002539CF"/>
    <w:rsid w:val="00256A48"/>
    <w:rsid w:val="00274E3A"/>
    <w:rsid w:val="00280A6F"/>
    <w:rsid w:val="00285B1C"/>
    <w:rsid w:val="002957E1"/>
    <w:rsid w:val="002A5A5C"/>
    <w:rsid w:val="002B5428"/>
    <w:rsid w:val="002E1160"/>
    <w:rsid w:val="002F0692"/>
    <w:rsid w:val="0031514A"/>
    <w:rsid w:val="003261C7"/>
    <w:rsid w:val="003263D1"/>
    <w:rsid w:val="0034169E"/>
    <w:rsid w:val="0034290F"/>
    <w:rsid w:val="003613E0"/>
    <w:rsid w:val="003672DB"/>
    <w:rsid w:val="00376FB3"/>
    <w:rsid w:val="00386304"/>
    <w:rsid w:val="00392E61"/>
    <w:rsid w:val="003A2726"/>
    <w:rsid w:val="003A3733"/>
    <w:rsid w:val="003A656B"/>
    <w:rsid w:val="003B1C48"/>
    <w:rsid w:val="003C23DB"/>
    <w:rsid w:val="003C5150"/>
    <w:rsid w:val="003E1BC5"/>
    <w:rsid w:val="003F2F1F"/>
    <w:rsid w:val="00411031"/>
    <w:rsid w:val="004132AC"/>
    <w:rsid w:val="00413C67"/>
    <w:rsid w:val="00424CDD"/>
    <w:rsid w:val="0043269E"/>
    <w:rsid w:val="00443A31"/>
    <w:rsid w:val="004520A5"/>
    <w:rsid w:val="004542C2"/>
    <w:rsid w:val="00477220"/>
    <w:rsid w:val="0049758E"/>
    <w:rsid w:val="004A2A78"/>
    <w:rsid w:val="004A489B"/>
    <w:rsid w:val="004C390F"/>
    <w:rsid w:val="004C6BD4"/>
    <w:rsid w:val="004C7B5D"/>
    <w:rsid w:val="004D60A0"/>
    <w:rsid w:val="004F0C54"/>
    <w:rsid w:val="00530E99"/>
    <w:rsid w:val="00531744"/>
    <w:rsid w:val="00533B4E"/>
    <w:rsid w:val="005350B1"/>
    <w:rsid w:val="00540B73"/>
    <w:rsid w:val="005452CF"/>
    <w:rsid w:val="00552B7D"/>
    <w:rsid w:val="005550C6"/>
    <w:rsid w:val="005808B8"/>
    <w:rsid w:val="00587B27"/>
    <w:rsid w:val="0059221E"/>
    <w:rsid w:val="00592559"/>
    <w:rsid w:val="0059504B"/>
    <w:rsid w:val="005B24DE"/>
    <w:rsid w:val="005B2B9E"/>
    <w:rsid w:val="005B3097"/>
    <w:rsid w:val="005C0E1E"/>
    <w:rsid w:val="005D1F36"/>
    <w:rsid w:val="005D5320"/>
    <w:rsid w:val="00601BBC"/>
    <w:rsid w:val="00603D47"/>
    <w:rsid w:val="00606444"/>
    <w:rsid w:val="00614697"/>
    <w:rsid w:val="00620720"/>
    <w:rsid w:val="0065622E"/>
    <w:rsid w:val="006620D3"/>
    <w:rsid w:val="006628EC"/>
    <w:rsid w:val="006705FE"/>
    <w:rsid w:val="00674EAD"/>
    <w:rsid w:val="00674FA2"/>
    <w:rsid w:val="006840E4"/>
    <w:rsid w:val="00690998"/>
    <w:rsid w:val="00694A9D"/>
    <w:rsid w:val="006A2BC6"/>
    <w:rsid w:val="006B527D"/>
    <w:rsid w:val="006B5EE2"/>
    <w:rsid w:val="006C0A00"/>
    <w:rsid w:val="006D64F0"/>
    <w:rsid w:val="006F38B9"/>
    <w:rsid w:val="006F3A59"/>
    <w:rsid w:val="00703D20"/>
    <w:rsid w:val="007154A9"/>
    <w:rsid w:val="0072165E"/>
    <w:rsid w:val="00734D6A"/>
    <w:rsid w:val="00735992"/>
    <w:rsid w:val="007515DD"/>
    <w:rsid w:val="00772106"/>
    <w:rsid w:val="007B0B3D"/>
    <w:rsid w:val="007B1CC2"/>
    <w:rsid w:val="007B3E5E"/>
    <w:rsid w:val="007E2A17"/>
    <w:rsid w:val="007E53E1"/>
    <w:rsid w:val="007F46BF"/>
    <w:rsid w:val="0080365A"/>
    <w:rsid w:val="00804D3B"/>
    <w:rsid w:val="00815656"/>
    <w:rsid w:val="00815E14"/>
    <w:rsid w:val="008235BF"/>
    <w:rsid w:val="00843405"/>
    <w:rsid w:val="008461B0"/>
    <w:rsid w:val="008468CD"/>
    <w:rsid w:val="00850F50"/>
    <w:rsid w:val="00876657"/>
    <w:rsid w:val="00884082"/>
    <w:rsid w:val="0088415E"/>
    <w:rsid w:val="00887B2F"/>
    <w:rsid w:val="00890A48"/>
    <w:rsid w:val="00890BE3"/>
    <w:rsid w:val="00895C3E"/>
    <w:rsid w:val="008A74E5"/>
    <w:rsid w:val="008B2A79"/>
    <w:rsid w:val="008C0338"/>
    <w:rsid w:val="008C2F5C"/>
    <w:rsid w:val="008C76B3"/>
    <w:rsid w:val="00906D91"/>
    <w:rsid w:val="0091279F"/>
    <w:rsid w:val="009144C6"/>
    <w:rsid w:val="00915549"/>
    <w:rsid w:val="009165C0"/>
    <w:rsid w:val="00941E2A"/>
    <w:rsid w:val="0096513E"/>
    <w:rsid w:val="00970761"/>
    <w:rsid w:val="00972D3E"/>
    <w:rsid w:val="0098045D"/>
    <w:rsid w:val="00990719"/>
    <w:rsid w:val="009B6FD9"/>
    <w:rsid w:val="009E1888"/>
    <w:rsid w:val="009E5FDF"/>
    <w:rsid w:val="009F57DB"/>
    <w:rsid w:val="00A0114E"/>
    <w:rsid w:val="00A0190D"/>
    <w:rsid w:val="00A325F0"/>
    <w:rsid w:val="00A328C2"/>
    <w:rsid w:val="00A3738D"/>
    <w:rsid w:val="00A40871"/>
    <w:rsid w:val="00A4098D"/>
    <w:rsid w:val="00A43A8C"/>
    <w:rsid w:val="00A60AAF"/>
    <w:rsid w:val="00A61AFD"/>
    <w:rsid w:val="00A915E5"/>
    <w:rsid w:val="00A9183C"/>
    <w:rsid w:val="00AC18AC"/>
    <w:rsid w:val="00AC381D"/>
    <w:rsid w:val="00AD54A9"/>
    <w:rsid w:val="00AE451F"/>
    <w:rsid w:val="00AF661A"/>
    <w:rsid w:val="00B04770"/>
    <w:rsid w:val="00B0495C"/>
    <w:rsid w:val="00B14512"/>
    <w:rsid w:val="00B14D07"/>
    <w:rsid w:val="00B206AA"/>
    <w:rsid w:val="00B23319"/>
    <w:rsid w:val="00B57179"/>
    <w:rsid w:val="00B80342"/>
    <w:rsid w:val="00B822C0"/>
    <w:rsid w:val="00B86E72"/>
    <w:rsid w:val="00BA576D"/>
    <w:rsid w:val="00BA6B30"/>
    <w:rsid w:val="00BB4654"/>
    <w:rsid w:val="00BE3A6B"/>
    <w:rsid w:val="00BF31B3"/>
    <w:rsid w:val="00C072B1"/>
    <w:rsid w:val="00C16F80"/>
    <w:rsid w:val="00C21A31"/>
    <w:rsid w:val="00C2400E"/>
    <w:rsid w:val="00C252A1"/>
    <w:rsid w:val="00C408F4"/>
    <w:rsid w:val="00C53DCF"/>
    <w:rsid w:val="00C57D93"/>
    <w:rsid w:val="00C7521B"/>
    <w:rsid w:val="00C855E9"/>
    <w:rsid w:val="00C9203D"/>
    <w:rsid w:val="00CA00D1"/>
    <w:rsid w:val="00CA3BA2"/>
    <w:rsid w:val="00CA5761"/>
    <w:rsid w:val="00CA7730"/>
    <w:rsid w:val="00CB2922"/>
    <w:rsid w:val="00CC14BD"/>
    <w:rsid w:val="00CC4753"/>
    <w:rsid w:val="00CC5F13"/>
    <w:rsid w:val="00CE14FE"/>
    <w:rsid w:val="00CE2D3E"/>
    <w:rsid w:val="00CF519A"/>
    <w:rsid w:val="00D03F1A"/>
    <w:rsid w:val="00D07383"/>
    <w:rsid w:val="00D21186"/>
    <w:rsid w:val="00D24DFA"/>
    <w:rsid w:val="00D30541"/>
    <w:rsid w:val="00D322E5"/>
    <w:rsid w:val="00D53869"/>
    <w:rsid w:val="00D56C57"/>
    <w:rsid w:val="00D72653"/>
    <w:rsid w:val="00D7527E"/>
    <w:rsid w:val="00DA0563"/>
    <w:rsid w:val="00DA46E1"/>
    <w:rsid w:val="00DA470A"/>
    <w:rsid w:val="00DA496D"/>
    <w:rsid w:val="00DB177D"/>
    <w:rsid w:val="00DC121F"/>
    <w:rsid w:val="00DE358F"/>
    <w:rsid w:val="00DE3834"/>
    <w:rsid w:val="00DF50AC"/>
    <w:rsid w:val="00DF588A"/>
    <w:rsid w:val="00E20D94"/>
    <w:rsid w:val="00E35C1E"/>
    <w:rsid w:val="00E36512"/>
    <w:rsid w:val="00E36D7F"/>
    <w:rsid w:val="00E405A4"/>
    <w:rsid w:val="00E4104A"/>
    <w:rsid w:val="00E4280D"/>
    <w:rsid w:val="00E42882"/>
    <w:rsid w:val="00E42AEF"/>
    <w:rsid w:val="00E55A41"/>
    <w:rsid w:val="00E638EC"/>
    <w:rsid w:val="00E65778"/>
    <w:rsid w:val="00E672A1"/>
    <w:rsid w:val="00EA03AB"/>
    <w:rsid w:val="00EA0CAF"/>
    <w:rsid w:val="00EA0FC1"/>
    <w:rsid w:val="00EB3F19"/>
    <w:rsid w:val="00EB518F"/>
    <w:rsid w:val="00EC4ABE"/>
    <w:rsid w:val="00EC736A"/>
    <w:rsid w:val="00EC7D77"/>
    <w:rsid w:val="00ED0D7C"/>
    <w:rsid w:val="00ED3D24"/>
    <w:rsid w:val="00F16944"/>
    <w:rsid w:val="00F32506"/>
    <w:rsid w:val="00F37007"/>
    <w:rsid w:val="00F41049"/>
    <w:rsid w:val="00F4204E"/>
    <w:rsid w:val="00F52CED"/>
    <w:rsid w:val="00F61116"/>
    <w:rsid w:val="00F677D8"/>
    <w:rsid w:val="00F7136D"/>
    <w:rsid w:val="00F829A0"/>
    <w:rsid w:val="00FC1286"/>
    <w:rsid w:val="00FE2354"/>
    <w:rsid w:val="00FE677A"/>
    <w:rsid w:val="00FF72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969B45"/>
  <w15:docId w15:val="{0AD5868A-6646-40C5-A25E-C4EB51BB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65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3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F2F1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4520A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overflow-hidden">
    <w:name w:val="overflow-hidden"/>
    <w:basedOn w:val="DefaultParagraphFont"/>
    <w:rsid w:val="004520A5"/>
  </w:style>
  <w:style w:type="character" w:styleId="Hyperlink">
    <w:name w:val="Hyperlink"/>
    <w:basedOn w:val="DefaultParagraphFont"/>
    <w:uiPriority w:val="99"/>
    <w:unhideWhenUsed/>
    <w:rsid w:val="00052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792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6628EC"/>
    <w:pPr>
      <w:widowControl/>
      <w:autoSpaceDE/>
      <w:autoSpaceDN/>
      <w:ind w:left="720"/>
    </w:pPr>
    <w:rPr>
      <w:rFonts w:ascii="Aptos" w:hAnsi="Aptos" w:eastAsiaTheme="minorHAnsi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1C46A796A534EB634381E7E74E036" ma:contentTypeVersion="16" ma:contentTypeDescription="Create a new document." ma:contentTypeScope="" ma:versionID="97e225d932cdd471749d01a05dda99b4">
  <xsd:schema xmlns:xsd="http://www.w3.org/2001/XMLSchema" xmlns:xs="http://www.w3.org/2001/XMLSchema" xmlns:p="http://schemas.microsoft.com/office/2006/metadata/properties" xmlns:ns2="b0aa90e5-1890-4ef9-a19a-cc4ed953f266" xmlns:ns3="cba3b54c-344a-4e0a-a8c3-65c4207b70db" targetNamespace="http://schemas.microsoft.com/office/2006/metadata/properties" ma:root="true" ma:fieldsID="195f434d9d1b5c3b049e2d6c9dc33968" ns2:_="" ns3:_="">
    <xsd:import namespace="b0aa90e5-1890-4ef9-a19a-cc4ed953f266"/>
    <xsd:import namespace="cba3b54c-344a-4e0a-a8c3-65c4207b7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90e5-1890-4ef9-a19a-cc4ed953f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c43b4c-0d31-4ab2-9446-c0ddc7bc3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b54c-344a-4e0a-a8c3-65c4207b7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4440d2e-42c0-4519-b716-ae499a0fe9e9}" ma:internalName="TaxCatchAll" ma:showField="CatchAllData" ma:web="cba3b54c-344a-4e0a-a8c3-65c4207b7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aa90e5-1890-4ef9-a19a-cc4ed953f266">
      <Terms xmlns="http://schemas.microsoft.com/office/infopath/2007/PartnerControls"/>
    </lcf76f155ced4ddcb4097134ff3c332f>
    <TaxCatchAll xmlns="cba3b54c-344a-4e0a-a8c3-65c4207b70db" xsi:nil="true"/>
  </documentManagement>
</p:properties>
</file>

<file path=customXml/itemProps1.xml><?xml version="1.0" encoding="utf-8"?>
<ds:datastoreItem xmlns:ds="http://schemas.openxmlformats.org/officeDocument/2006/customXml" ds:itemID="{A21A3838-6436-48D7-9786-2E4729398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90e5-1890-4ef9-a19a-cc4ed953f266"/>
    <ds:schemaRef ds:uri="cba3b54c-344a-4e0a-a8c3-65c4207b7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16681-D35F-4033-B19D-47C0B706B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45D39-385E-439D-A954-2BF8F0B8EDD5}">
  <ds:schemaRefs>
    <ds:schemaRef ds:uri="http://schemas.microsoft.com/office/2006/metadata/properties"/>
    <ds:schemaRef ds:uri="http://schemas.microsoft.com/office/infopath/2007/PartnerControls"/>
    <ds:schemaRef ds:uri="b0aa90e5-1890-4ef9-a19a-cc4ed953f266"/>
    <ds:schemaRef ds:uri="cba3b54c-344a-4e0a-a8c3-65c4207b7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