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F0601E" w:rsidP="00E91ED7">
      <w:pPr>
        <w:pStyle w:val="MeetingDetails"/>
      </w:pPr>
      <w:r>
        <w:t>June</w:t>
      </w:r>
      <w:r w:rsidR="00E91ED7">
        <w:t xml:space="preserve"> 1</w:t>
      </w:r>
      <w:r>
        <w:t>5</w:t>
      </w:r>
      <w:r w:rsidR="00E91ED7">
        <w:t>, 2016</w:t>
      </w:r>
    </w:p>
    <w:p w:rsidR="00E91ED7" w:rsidRPr="00B62597" w:rsidRDefault="00E91ED7" w:rsidP="00E91ED7">
      <w:pPr>
        <w:pStyle w:val="MeetingDetails"/>
        <w:rPr>
          <w:sz w:val="28"/>
          <w:u w:val="single"/>
        </w:rPr>
      </w:pPr>
      <w:r>
        <w:t xml:space="preserve">8:00 a.m. – 4:00 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F0601E" w:rsidP="003B55E1">
      <w:pPr>
        <w:pStyle w:val="PrimaryHeading"/>
        <w:rPr>
          <w:caps/>
        </w:rPr>
      </w:pPr>
      <w:bookmarkStart w:id="1" w:name="OLE_LINK5"/>
      <w:bookmarkStart w:id="2" w:name="OLE_LINK3"/>
      <w:proofErr w:type="gramStart"/>
      <w:r>
        <w:t xml:space="preserve">Lines Subgroup Meeting </w:t>
      </w:r>
      <w:r w:rsidR="002B2F98">
        <w:t>(</w:t>
      </w:r>
      <w:r w:rsidR="00E91ED7" w:rsidRPr="00A03D26">
        <w:t xml:space="preserve">8:00 a.m. - </w:t>
      </w:r>
      <w:r>
        <w:t>10</w:t>
      </w:r>
      <w:r w:rsidR="00E91ED7" w:rsidRPr="00A03D26">
        <w:t>:</w:t>
      </w:r>
      <w:r>
        <w:t>0</w:t>
      </w:r>
      <w:r w:rsidR="00E91ED7" w:rsidRPr="00A03D26">
        <w:t>0 a.m.)</w:t>
      </w:r>
      <w:proofErr w:type="gramEnd"/>
      <w:r w:rsidR="00E91ED7" w:rsidRPr="00A03D26">
        <w:t xml:space="preserve">  </w:t>
      </w:r>
    </w:p>
    <w:bookmarkEnd w:id="1"/>
    <w:bookmarkEnd w:id="2"/>
    <w:p w:rsidR="008D0F24" w:rsidRDefault="008D0F24" w:rsidP="008D0F24">
      <w:pPr>
        <w:rPr>
          <w:rFonts w:ascii="Arial Narrow" w:hAnsi="Arial Narrow"/>
        </w:rPr>
      </w:pPr>
      <w:r w:rsidRPr="008D0F24">
        <w:rPr>
          <w:rFonts w:ascii="Arial Narrow" w:hAnsi="Arial Narrow"/>
        </w:rPr>
        <w:t>Review meeting format, establish time limits for topics, and discuss time line to completion (could delay this until July)</w:t>
      </w:r>
    </w:p>
    <w:p w:rsidR="008D0F24" w:rsidRPr="008D0F24" w:rsidRDefault="008D0F24" w:rsidP="008D0F24">
      <w:pPr>
        <w:rPr>
          <w:rFonts w:ascii="Arial Narrow" w:hAnsi="Arial Narrow"/>
        </w:rPr>
      </w:pPr>
      <w:r w:rsidRPr="008D0F24">
        <w:rPr>
          <w:rFonts w:ascii="Arial Narrow" w:hAnsi="Arial Narrow"/>
        </w:rPr>
        <w:t>Review previous action items</w:t>
      </w:r>
    </w:p>
    <w:p w:rsidR="008D0F24" w:rsidRPr="008D0F24" w:rsidRDefault="008D0F24" w:rsidP="008D0F24">
      <w:pPr>
        <w:pStyle w:val="SecondaryHeading-Numbered"/>
        <w:numPr>
          <w:ilvl w:val="0"/>
          <w:numId w:val="28"/>
        </w:numPr>
        <w:rPr>
          <w:b w:val="0"/>
          <w:sz w:val="22"/>
        </w:rPr>
      </w:pPr>
      <w:r w:rsidRPr="008D0F24">
        <w:rPr>
          <w:b w:val="0"/>
          <w:sz w:val="22"/>
        </w:rPr>
        <w:t>Discuss T-Flash</w:t>
      </w:r>
    </w:p>
    <w:p w:rsidR="008D0F24" w:rsidRPr="008D0F24" w:rsidRDefault="008D0F24" w:rsidP="008D0F24">
      <w:pPr>
        <w:pStyle w:val="SecondaryHeading-Numbered"/>
        <w:numPr>
          <w:ilvl w:val="0"/>
          <w:numId w:val="28"/>
        </w:numPr>
        <w:rPr>
          <w:b w:val="0"/>
          <w:sz w:val="22"/>
        </w:rPr>
      </w:pPr>
      <w:r w:rsidRPr="008D0F24">
        <w:rPr>
          <w:b w:val="0"/>
          <w:sz w:val="22"/>
        </w:rPr>
        <w:t>Review ASCE Maps (or we can wait until we get to the loading criteria section)</w:t>
      </w:r>
    </w:p>
    <w:p w:rsidR="008D0F24" w:rsidRPr="008D0F24" w:rsidRDefault="008D0F24" w:rsidP="008D0F24">
      <w:pPr>
        <w:pStyle w:val="SecondaryHeading-Numbered"/>
        <w:numPr>
          <w:ilvl w:val="0"/>
          <w:numId w:val="28"/>
        </w:numPr>
        <w:rPr>
          <w:b w:val="0"/>
          <w:sz w:val="22"/>
        </w:rPr>
      </w:pPr>
      <w:r w:rsidRPr="008D0F24">
        <w:rPr>
          <w:b w:val="0"/>
          <w:sz w:val="22"/>
        </w:rPr>
        <w:t xml:space="preserve">Update on coordination with station </w:t>
      </w:r>
    </w:p>
    <w:p w:rsidR="008D0F24" w:rsidRDefault="008D0F24" w:rsidP="008D0F24">
      <w:pPr>
        <w:rPr>
          <w:rFonts w:ascii="Arial Narrow" w:hAnsi="Arial Narrow"/>
        </w:rPr>
      </w:pPr>
      <w:r w:rsidRPr="008D0F24">
        <w:rPr>
          <w:rFonts w:ascii="Arial Narrow" w:hAnsi="Arial Narrow"/>
        </w:rPr>
        <w:t>Continue reviewing the spreadsheet</w:t>
      </w:r>
    </w:p>
    <w:p w:rsidR="00D3254B" w:rsidRDefault="00A53EB3" w:rsidP="008D0F24">
      <w:pPr>
        <w:rPr>
          <w:rFonts w:ascii="Arial Narrow" w:hAnsi="Arial Narrow"/>
        </w:rPr>
      </w:pPr>
      <w:r>
        <w:rPr>
          <w:rFonts w:ascii="Arial Narrow" w:hAnsi="Arial Narrow"/>
        </w:rPr>
        <w:t>Request</w:t>
      </w:r>
      <w:r w:rsidR="00D3254B">
        <w:rPr>
          <w:rFonts w:ascii="Arial Narrow" w:hAnsi="Arial Narrow"/>
        </w:rPr>
        <w:t xml:space="preserve"> participation in conference calls </w:t>
      </w:r>
      <w:r>
        <w:rPr>
          <w:rFonts w:ascii="Arial Narrow" w:hAnsi="Arial Narrow"/>
        </w:rPr>
        <w:t xml:space="preserve">to be set up in July </w:t>
      </w:r>
      <w:r w:rsidR="00D3254B">
        <w:rPr>
          <w:rFonts w:ascii="Arial Narrow" w:hAnsi="Arial Narrow"/>
        </w:rPr>
        <w:t xml:space="preserve">for Live Lines and Electrical Parameters discussions </w:t>
      </w:r>
    </w:p>
    <w:p w:rsidR="0079292F" w:rsidRPr="008D0F24" w:rsidRDefault="0079292F" w:rsidP="008D0F24">
      <w:pPr>
        <w:rPr>
          <w:rFonts w:ascii="Arial Narrow" w:hAnsi="Arial Narrow"/>
        </w:rPr>
      </w:pPr>
      <w:r>
        <w:rPr>
          <w:rFonts w:ascii="Arial Narrow" w:hAnsi="Arial Narrow"/>
        </w:rPr>
        <w:t>Action items for next meeting</w:t>
      </w:r>
    </w:p>
    <w:p w:rsidR="00EC11C3" w:rsidRPr="00EC11C3" w:rsidRDefault="002C2F56" w:rsidP="00EC11C3">
      <w:pPr>
        <w:pStyle w:val="PrimaryHeading"/>
      </w:pPr>
      <w:proofErr w:type="gramStart"/>
      <w:r>
        <w:t xml:space="preserve">Protection Subgroup Meeting </w:t>
      </w:r>
      <w:r w:rsidR="001D3B68">
        <w:t>(</w:t>
      </w:r>
      <w:r w:rsidR="00F0601E">
        <w:t>10</w:t>
      </w:r>
      <w:r w:rsidR="00E91ED7" w:rsidRPr="00A03D26">
        <w:t>:</w:t>
      </w:r>
      <w:r w:rsidR="00F0601E">
        <w:t>15</w:t>
      </w:r>
      <w:r w:rsidR="00E91ED7" w:rsidRPr="00A03D26">
        <w:t xml:space="preserve"> a.m.</w:t>
      </w:r>
      <w:r w:rsidR="00EE68C4">
        <w:t xml:space="preserve"> - </w:t>
      </w:r>
      <w:r w:rsidR="00F0601E">
        <w:t>12</w:t>
      </w:r>
      <w:r w:rsidR="00E91ED7" w:rsidRPr="00A03D26">
        <w:t>:</w:t>
      </w:r>
      <w:r w:rsidR="00F0601E">
        <w:t>15 p</w:t>
      </w:r>
      <w:r w:rsidR="00E91ED7" w:rsidRPr="00A03D26">
        <w:t>.m.)</w:t>
      </w:r>
      <w:proofErr w:type="gramEnd"/>
      <w:r w:rsidR="00E91ED7" w:rsidRPr="00A03D26">
        <w:t xml:space="preserve">  </w:t>
      </w:r>
    </w:p>
    <w:p w:rsidR="00E03F02" w:rsidRDefault="004F264F" w:rsidP="000A42AD">
      <w:pPr>
        <w:pStyle w:val="SecondaryHeading-Numbered"/>
        <w:numPr>
          <w:ilvl w:val="0"/>
          <w:numId w:val="0"/>
        </w:numPr>
        <w:ind w:left="360" w:hanging="360"/>
        <w:rPr>
          <w:b w:val="0"/>
          <w:sz w:val="22"/>
        </w:rPr>
      </w:pPr>
      <w:r>
        <w:rPr>
          <w:b w:val="0"/>
          <w:sz w:val="22"/>
        </w:rPr>
        <w:t>Attendance</w:t>
      </w:r>
    </w:p>
    <w:p w:rsidR="004F264F" w:rsidRDefault="004F264F" w:rsidP="000A42AD">
      <w:pPr>
        <w:pStyle w:val="SecondaryHeading-Numbered"/>
        <w:numPr>
          <w:ilvl w:val="0"/>
          <w:numId w:val="0"/>
        </w:numPr>
        <w:ind w:left="360" w:hanging="360"/>
        <w:rPr>
          <w:b w:val="0"/>
          <w:sz w:val="22"/>
        </w:rPr>
      </w:pPr>
      <w:r>
        <w:rPr>
          <w:b w:val="0"/>
          <w:sz w:val="22"/>
        </w:rPr>
        <w:t>Review action items from last meeting</w:t>
      </w:r>
    </w:p>
    <w:p w:rsidR="004F264F" w:rsidRDefault="004F264F" w:rsidP="004F264F">
      <w:pPr>
        <w:pStyle w:val="SecondaryHeading-Numbered"/>
        <w:numPr>
          <w:ilvl w:val="0"/>
          <w:numId w:val="28"/>
        </w:numPr>
        <w:rPr>
          <w:b w:val="0"/>
          <w:sz w:val="22"/>
        </w:rPr>
      </w:pPr>
      <w:r>
        <w:rPr>
          <w:b w:val="0"/>
          <w:sz w:val="22"/>
        </w:rPr>
        <w:t>Update on Relay Subcommittee Poll about treatment of 100-200kV relay protection</w:t>
      </w:r>
    </w:p>
    <w:p w:rsidR="004F264F" w:rsidRDefault="004F264F" w:rsidP="004F264F">
      <w:pPr>
        <w:pStyle w:val="SecondaryHeading-Numbered"/>
        <w:numPr>
          <w:ilvl w:val="0"/>
          <w:numId w:val="28"/>
        </w:numPr>
        <w:rPr>
          <w:b w:val="0"/>
          <w:sz w:val="22"/>
        </w:rPr>
      </w:pPr>
      <w:r>
        <w:rPr>
          <w:b w:val="0"/>
          <w:sz w:val="22"/>
        </w:rPr>
        <w:t>Update on review of member company-specific protection documents</w:t>
      </w:r>
    </w:p>
    <w:p w:rsidR="004F264F" w:rsidRDefault="004F264F" w:rsidP="004F264F">
      <w:pPr>
        <w:pStyle w:val="SecondaryHeading-Numbered"/>
        <w:numPr>
          <w:ilvl w:val="0"/>
          <w:numId w:val="0"/>
        </w:numPr>
        <w:ind w:left="360" w:hanging="360"/>
        <w:rPr>
          <w:b w:val="0"/>
          <w:sz w:val="22"/>
        </w:rPr>
      </w:pPr>
      <w:r>
        <w:rPr>
          <w:b w:val="0"/>
          <w:sz w:val="22"/>
        </w:rPr>
        <w:t>Review/discuss ongoing subgroup scoping document (outline)</w:t>
      </w:r>
    </w:p>
    <w:p w:rsidR="004F264F" w:rsidRDefault="004F264F" w:rsidP="004F264F">
      <w:pPr>
        <w:pStyle w:val="SecondaryHeading-Numbered"/>
        <w:numPr>
          <w:ilvl w:val="0"/>
          <w:numId w:val="0"/>
        </w:numPr>
        <w:ind w:left="360" w:hanging="360"/>
        <w:rPr>
          <w:b w:val="0"/>
          <w:sz w:val="22"/>
        </w:rPr>
      </w:pPr>
      <w:r>
        <w:rPr>
          <w:b w:val="0"/>
          <w:sz w:val="22"/>
        </w:rPr>
        <w:t>Discuss approximate timetable for completion of final document</w:t>
      </w:r>
    </w:p>
    <w:p w:rsidR="004F264F" w:rsidRDefault="0079292F" w:rsidP="004F264F">
      <w:pPr>
        <w:pStyle w:val="SecondaryHeading-Numbered"/>
        <w:numPr>
          <w:ilvl w:val="0"/>
          <w:numId w:val="0"/>
        </w:numPr>
        <w:ind w:left="360" w:hanging="360"/>
        <w:rPr>
          <w:b w:val="0"/>
          <w:sz w:val="22"/>
        </w:rPr>
      </w:pPr>
      <w:r>
        <w:rPr>
          <w:b w:val="0"/>
          <w:sz w:val="22"/>
        </w:rPr>
        <w:t>Determine action items for</w:t>
      </w:r>
      <w:r w:rsidR="004F264F">
        <w:rPr>
          <w:b w:val="0"/>
          <w:sz w:val="22"/>
        </w:rPr>
        <w:t xml:space="preserve"> next meeting</w:t>
      </w:r>
    </w:p>
    <w:p w:rsidR="00E03F02" w:rsidRPr="00EC11C3" w:rsidRDefault="004F264F" w:rsidP="000A42AD">
      <w:pPr>
        <w:pStyle w:val="SecondaryHeading-Numbered"/>
        <w:numPr>
          <w:ilvl w:val="0"/>
          <w:numId w:val="0"/>
        </w:numPr>
        <w:ind w:left="360" w:hanging="360"/>
        <w:rPr>
          <w:b w:val="0"/>
        </w:rPr>
      </w:pPr>
      <w:r>
        <w:rPr>
          <w:b w:val="0"/>
          <w:sz w:val="22"/>
        </w:rPr>
        <w:t>Adjourn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C2F56" w:rsidTr="00FF1DBF">
        <w:tc>
          <w:tcPr>
            <w:tcW w:w="9576" w:type="dxa"/>
          </w:tcPr>
          <w:p w:rsidR="002C2F56" w:rsidRDefault="00EE68C4" w:rsidP="00F0601E">
            <w:pPr>
              <w:pStyle w:val="PrimaryHeading"/>
            </w:pPr>
            <w:r>
              <w:t>Lunch</w:t>
            </w:r>
            <w:r w:rsidR="002C2F56">
              <w:t xml:space="preserve"> (</w:t>
            </w:r>
            <w:r w:rsidR="00F0601E">
              <w:t>12</w:t>
            </w:r>
            <w:r w:rsidRPr="00A03D26">
              <w:t>:</w:t>
            </w:r>
            <w:r w:rsidR="00F0601E">
              <w:t>15</w:t>
            </w:r>
            <w:r w:rsidRPr="00A03D26">
              <w:t xml:space="preserve"> </w:t>
            </w:r>
            <w:r w:rsidR="00F0601E">
              <w:t>p</w:t>
            </w:r>
            <w:r w:rsidRPr="00A03D26">
              <w:t xml:space="preserve">.m. - </w:t>
            </w:r>
            <w:r w:rsidR="00F0601E">
              <w:t>1</w:t>
            </w:r>
            <w:r w:rsidRPr="00A03D26">
              <w:t>:</w:t>
            </w:r>
            <w:r w:rsidR="00F0601E">
              <w:t>00</w:t>
            </w:r>
            <w:r w:rsidRPr="00A03D26">
              <w:t xml:space="preserve"> </w:t>
            </w:r>
            <w:r>
              <w:t>p</w:t>
            </w:r>
            <w:r w:rsidRPr="00A03D26">
              <w:t xml:space="preserve">.m.)  </w:t>
            </w:r>
          </w:p>
        </w:tc>
      </w:tr>
    </w:tbl>
    <w:p w:rsidR="000F285A" w:rsidRDefault="000F285A" w:rsidP="002C2F56">
      <w:pPr>
        <w:pStyle w:val="SecondaryHeading-Numbered"/>
        <w:numPr>
          <w:ilvl w:val="0"/>
          <w:numId w:val="0"/>
        </w:numPr>
        <w:rPr>
          <w:b w:val="0"/>
        </w:rPr>
      </w:pPr>
    </w:p>
    <w:p w:rsidR="001D3B68" w:rsidRDefault="002C2F56" w:rsidP="001D3B68">
      <w:pPr>
        <w:pStyle w:val="PrimaryHeading"/>
      </w:pPr>
      <w:proofErr w:type="gramStart"/>
      <w:r>
        <w:t xml:space="preserve">Substation Subgroup Meeting </w:t>
      </w:r>
      <w:r w:rsidR="001D3B68">
        <w:t>(</w:t>
      </w:r>
      <w:r w:rsidR="00EE68C4">
        <w:t>1</w:t>
      </w:r>
      <w:r w:rsidR="00EE68C4" w:rsidRPr="00A03D26">
        <w:t>:</w:t>
      </w:r>
      <w:r w:rsidR="00F0601E">
        <w:t>00</w:t>
      </w:r>
      <w:r w:rsidR="00EE68C4" w:rsidRPr="00A03D26">
        <w:t xml:space="preserve"> </w:t>
      </w:r>
      <w:r w:rsidR="00EE68C4">
        <w:t>p</w:t>
      </w:r>
      <w:r w:rsidR="00EE68C4" w:rsidRPr="00A03D26">
        <w:t>.m.</w:t>
      </w:r>
      <w:r w:rsidR="00724851">
        <w:t xml:space="preserve"> - </w:t>
      </w:r>
      <w:r w:rsidR="00F0601E">
        <w:t>3</w:t>
      </w:r>
      <w:r w:rsidR="00EE68C4" w:rsidRPr="00A03D26">
        <w:t>:</w:t>
      </w:r>
      <w:r w:rsidR="00F0601E">
        <w:t>00</w:t>
      </w:r>
      <w:r w:rsidR="00EE68C4" w:rsidRPr="00A03D26">
        <w:t xml:space="preserve"> </w:t>
      </w:r>
      <w:r w:rsidR="00EE68C4">
        <w:t>p</w:t>
      </w:r>
      <w:r w:rsidR="00EE68C4" w:rsidRPr="00A03D26">
        <w:t>.m.)</w:t>
      </w:r>
      <w:proofErr w:type="gramEnd"/>
      <w:r w:rsidR="00EE68C4" w:rsidRPr="00A03D26">
        <w:t xml:space="preserve">  </w:t>
      </w:r>
    </w:p>
    <w:p w:rsidR="00DA259C" w:rsidRPr="00DA259C" w:rsidRDefault="00DA259C" w:rsidP="00DA259C">
      <w:pPr>
        <w:pStyle w:val="SecondaryHeading-Numbered"/>
        <w:numPr>
          <w:ilvl w:val="0"/>
          <w:numId w:val="0"/>
        </w:numPr>
        <w:ind w:left="360" w:hanging="360"/>
        <w:rPr>
          <w:b w:val="0"/>
          <w:sz w:val="22"/>
        </w:rPr>
      </w:pPr>
      <w:r w:rsidRPr="00DA259C">
        <w:rPr>
          <w:b w:val="0"/>
          <w:sz w:val="22"/>
        </w:rPr>
        <w:t>Review of proposals / write-ups for</w:t>
      </w:r>
      <w:r w:rsidR="006D2B97">
        <w:rPr>
          <w:b w:val="0"/>
          <w:sz w:val="22"/>
        </w:rPr>
        <w:t>:</w:t>
      </w:r>
      <w:r w:rsidRPr="00DA259C">
        <w:rPr>
          <w:b w:val="0"/>
          <w:sz w:val="22"/>
        </w:rPr>
        <w:t xml:space="preserve"> </w:t>
      </w:r>
    </w:p>
    <w:p w:rsidR="00DA259C" w:rsidRPr="00DA259C" w:rsidRDefault="00DA259C" w:rsidP="00DA259C">
      <w:pPr>
        <w:pStyle w:val="SecondaryHeading-Numbered"/>
        <w:numPr>
          <w:ilvl w:val="0"/>
          <w:numId w:val="28"/>
        </w:numPr>
        <w:rPr>
          <w:b w:val="0"/>
          <w:sz w:val="22"/>
        </w:rPr>
      </w:pPr>
      <w:r w:rsidRPr="00DA259C">
        <w:rPr>
          <w:b w:val="0"/>
          <w:sz w:val="22"/>
        </w:rPr>
        <w:t>AC Station Service</w:t>
      </w:r>
    </w:p>
    <w:p w:rsidR="00DA259C" w:rsidRPr="00DA259C" w:rsidRDefault="00DA259C" w:rsidP="00DA259C">
      <w:pPr>
        <w:pStyle w:val="SecondaryHeading-Numbered"/>
        <w:numPr>
          <w:ilvl w:val="0"/>
          <w:numId w:val="28"/>
        </w:numPr>
        <w:rPr>
          <w:b w:val="0"/>
          <w:sz w:val="22"/>
        </w:rPr>
      </w:pPr>
      <w:r w:rsidRPr="00DA259C">
        <w:rPr>
          <w:b w:val="0"/>
          <w:sz w:val="22"/>
        </w:rPr>
        <w:lastRenderedPageBreak/>
        <w:t>DC Station Service</w:t>
      </w:r>
    </w:p>
    <w:p w:rsidR="00DA259C" w:rsidRPr="00DA259C" w:rsidRDefault="00DA259C" w:rsidP="00DA259C">
      <w:pPr>
        <w:pStyle w:val="SecondaryHeading-Numbered"/>
        <w:numPr>
          <w:ilvl w:val="0"/>
          <w:numId w:val="28"/>
        </w:numPr>
        <w:rPr>
          <w:b w:val="0"/>
          <w:sz w:val="22"/>
        </w:rPr>
      </w:pPr>
      <w:r w:rsidRPr="00DA259C">
        <w:rPr>
          <w:b w:val="0"/>
          <w:sz w:val="22"/>
        </w:rPr>
        <w:t>Ground Grid Resistance</w:t>
      </w:r>
    </w:p>
    <w:p w:rsidR="00DA259C" w:rsidRDefault="00DA259C" w:rsidP="00DA259C">
      <w:pPr>
        <w:pStyle w:val="SecondaryHeading-Numbered"/>
        <w:numPr>
          <w:ilvl w:val="0"/>
          <w:numId w:val="28"/>
        </w:numPr>
        <w:rPr>
          <w:b w:val="0"/>
          <w:sz w:val="22"/>
        </w:rPr>
      </w:pPr>
      <w:r w:rsidRPr="00DA259C">
        <w:rPr>
          <w:b w:val="0"/>
          <w:sz w:val="22"/>
        </w:rPr>
        <w:t>Voltage Criteria for</w:t>
      </w:r>
    </w:p>
    <w:p w:rsidR="00DA259C" w:rsidRPr="00DA259C" w:rsidRDefault="00DA259C" w:rsidP="00DA259C">
      <w:pPr>
        <w:pStyle w:val="SecondaryHeading-Numbered"/>
        <w:numPr>
          <w:ilvl w:val="1"/>
          <w:numId w:val="28"/>
        </w:numPr>
        <w:rPr>
          <w:b w:val="0"/>
          <w:sz w:val="22"/>
        </w:rPr>
      </w:pPr>
      <w:r w:rsidRPr="00DA259C">
        <w:rPr>
          <w:b w:val="0"/>
          <w:sz w:val="22"/>
        </w:rPr>
        <w:t>69kV, 115kV, 138kV, and 161kV</w:t>
      </w:r>
    </w:p>
    <w:p w:rsidR="00DA259C" w:rsidRPr="00DA259C" w:rsidRDefault="00DA259C" w:rsidP="00DA259C">
      <w:pPr>
        <w:pStyle w:val="SecondaryHeading-Numbered"/>
        <w:numPr>
          <w:ilvl w:val="0"/>
          <w:numId w:val="0"/>
        </w:numPr>
        <w:ind w:left="360" w:hanging="360"/>
        <w:rPr>
          <w:b w:val="0"/>
          <w:sz w:val="22"/>
        </w:rPr>
      </w:pPr>
      <w:r w:rsidRPr="00DA259C">
        <w:rPr>
          <w:b w:val="0"/>
          <w:sz w:val="22"/>
        </w:rPr>
        <w:t>Review of TSS mark-ups</w:t>
      </w:r>
    </w:p>
    <w:p w:rsidR="00DA259C" w:rsidRPr="00DA259C" w:rsidRDefault="00DA259C" w:rsidP="00DA259C">
      <w:pPr>
        <w:pStyle w:val="SecondaryHeading-Numbered"/>
        <w:numPr>
          <w:ilvl w:val="0"/>
          <w:numId w:val="0"/>
        </w:numPr>
        <w:ind w:left="360" w:hanging="360"/>
        <w:rPr>
          <w:b w:val="0"/>
          <w:sz w:val="22"/>
        </w:rPr>
      </w:pPr>
      <w:r w:rsidRPr="00DA259C">
        <w:rPr>
          <w:b w:val="0"/>
          <w:sz w:val="22"/>
        </w:rPr>
        <w:t>Review of Introduction Document</w:t>
      </w:r>
    </w:p>
    <w:p w:rsidR="00DA259C" w:rsidRPr="00DA259C" w:rsidRDefault="00DA259C" w:rsidP="00DA259C">
      <w:pPr>
        <w:pStyle w:val="SecondaryHeading-Numbered"/>
        <w:numPr>
          <w:ilvl w:val="0"/>
          <w:numId w:val="0"/>
        </w:numPr>
        <w:ind w:left="360" w:hanging="360"/>
        <w:rPr>
          <w:b w:val="0"/>
          <w:sz w:val="22"/>
        </w:rPr>
      </w:pPr>
      <w:r w:rsidRPr="00DA259C">
        <w:rPr>
          <w:b w:val="0"/>
          <w:sz w:val="22"/>
        </w:rPr>
        <w:t>Assignment of Tasks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DB1DEF">
        <w:trPr>
          <w:trHeight w:val="450"/>
        </w:trPr>
        <w:tc>
          <w:tcPr>
            <w:tcW w:w="9576" w:type="dxa"/>
            <w:gridSpan w:val="3"/>
          </w:tcPr>
          <w:p w:rsidR="00BB531B" w:rsidRDefault="00DB1DEF" w:rsidP="00BB531B">
            <w:pPr>
              <w:pStyle w:val="PrimaryHeading"/>
            </w:pPr>
            <w:r>
              <w:t>Action Items update</w:t>
            </w:r>
          </w:p>
        </w:tc>
      </w:tr>
      <w:tr w:rsidR="00BB531B" w:rsidTr="00BB531B">
        <w:trPr>
          <w:trHeight w:val="296"/>
        </w:trPr>
        <w:tc>
          <w:tcPr>
            <w:tcW w:w="9576" w:type="dxa"/>
            <w:gridSpan w:val="3"/>
          </w:tcPr>
          <w:p w:rsidR="000F285A" w:rsidRDefault="000F285A" w:rsidP="00131541">
            <w:pPr>
              <w:pStyle w:val="SecondaryHeading-Numbered"/>
              <w:numPr>
                <w:ilvl w:val="0"/>
                <w:numId w:val="0"/>
              </w:numPr>
              <w:rPr>
                <w:sz w:val="22"/>
              </w:rPr>
            </w:pPr>
            <w:r>
              <w:rPr>
                <w:sz w:val="22"/>
              </w:rPr>
              <w:t>Update at June 9</w:t>
            </w:r>
            <w:r w:rsidRPr="000F285A">
              <w:rPr>
                <w:sz w:val="22"/>
                <w:vertAlign w:val="superscript"/>
              </w:rPr>
              <w:t>th</w:t>
            </w:r>
            <w:r>
              <w:rPr>
                <w:sz w:val="22"/>
              </w:rPr>
              <w:t xml:space="preserve"> Planning Committee meeting </w:t>
            </w:r>
            <w:r>
              <w:rPr>
                <w:b w:val="0"/>
                <w:sz w:val="22"/>
              </w:rPr>
              <w:t>–</w:t>
            </w:r>
            <w:r w:rsidRPr="000F285A">
              <w:rPr>
                <w:b w:val="0"/>
                <w:sz w:val="22"/>
              </w:rPr>
              <w:t xml:space="preserve"> </w:t>
            </w:r>
            <w:r>
              <w:rPr>
                <w:b w:val="0"/>
                <w:sz w:val="22"/>
              </w:rPr>
              <w:t>See presentation posted with 6/15/16 meeting materials</w:t>
            </w:r>
          </w:p>
          <w:p w:rsidR="000F285A" w:rsidRDefault="000F285A" w:rsidP="00131541">
            <w:pPr>
              <w:pStyle w:val="SecondaryHeading-Numbered"/>
              <w:numPr>
                <w:ilvl w:val="0"/>
                <w:numId w:val="0"/>
              </w:numPr>
              <w:rPr>
                <w:sz w:val="22"/>
              </w:rPr>
            </w:pPr>
          </w:p>
          <w:p w:rsidR="00EE68C4" w:rsidRDefault="00DB1DEF" w:rsidP="00131541">
            <w:pPr>
              <w:pStyle w:val="SecondaryHeading-Numbered"/>
              <w:numPr>
                <w:ilvl w:val="0"/>
                <w:numId w:val="0"/>
              </w:numPr>
              <w:rPr>
                <w:b w:val="0"/>
                <w:sz w:val="22"/>
              </w:rPr>
            </w:pPr>
            <w:r w:rsidRPr="00131541">
              <w:rPr>
                <w:sz w:val="22"/>
              </w:rPr>
              <w:t>Education on Greenfield and Upgrade proposal requirements</w:t>
            </w:r>
            <w:r>
              <w:rPr>
                <w:b w:val="0"/>
                <w:sz w:val="22"/>
              </w:rPr>
              <w:t xml:space="preserve"> – See DEDSTF Educational Materials posted </w:t>
            </w:r>
            <w:r w:rsidR="00131541">
              <w:rPr>
                <w:b w:val="0"/>
                <w:sz w:val="22"/>
              </w:rPr>
              <w:t>with</w:t>
            </w:r>
            <w:r>
              <w:rPr>
                <w:b w:val="0"/>
                <w:sz w:val="22"/>
              </w:rPr>
              <w:t xml:space="preserve"> 6/15/16 meeting</w:t>
            </w:r>
            <w:r w:rsidR="00131541">
              <w:rPr>
                <w:b w:val="0"/>
                <w:sz w:val="22"/>
              </w:rPr>
              <w:t xml:space="preserve"> materials</w:t>
            </w:r>
          </w:p>
          <w:p w:rsidR="00131541" w:rsidRDefault="00131541" w:rsidP="00131541">
            <w:pPr>
              <w:pStyle w:val="AttendeesList"/>
              <w:rPr>
                <w:sz w:val="22"/>
                <w:szCs w:val="22"/>
              </w:rPr>
            </w:pPr>
          </w:p>
          <w:p w:rsidR="00131541" w:rsidRPr="00131541" w:rsidRDefault="00131541" w:rsidP="00131541">
            <w:pPr>
              <w:pStyle w:val="AttendeesList"/>
              <w:rPr>
                <w:sz w:val="22"/>
                <w:szCs w:val="22"/>
              </w:rPr>
            </w:pPr>
            <w:r w:rsidRPr="00131541">
              <w:rPr>
                <w:b/>
                <w:sz w:val="22"/>
                <w:szCs w:val="22"/>
              </w:rPr>
              <w:t>Updated SPP minimum design standards document</w:t>
            </w:r>
            <w:r w:rsidRPr="00131541">
              <w:rPr>
                <w:sz w:val="22"/>
                <w:szCs w:val="22"/>
              </w:rPr>
              <w:t xml:space="preserve"> </w:t>
            </w:r>
            <w:r>
              <w:rPr>
                <w:sz w:val="22"/>
                <w:szCs w:val="22"/>
              </w:rPr>
              <w:t>– See working draft document posted with 6/15/16 meeting materials</w:t>
            </w:r>
          </w:p>
          <w:p w:rsidR="00DB1DEF" w:rsidRDefault="00DB1DEF" w:rsidP="00DB1DEF">
            <w:pPr>
              <w:pStyle w:val="SecondaryHeading-Numbered"/>
              <w:numPr>
                <w:ilvl w:val="0"/>
                <w:numId w:val="0"/>
              </w:numPr>
              <w:ind w:left="360" w:hanging="360"/>
              <w:rPr>
                <w:b w:val="0"/>
                <w:sz w:val="22"/>
              </w:rPr>
            </w:pPr>
          </w:p>
          <w:p w:rsidR="00DB1DEF" w:rsidRDefault="00DB1DEF" w:rsidP="00DB1DEF">
            <w:pPr>
              <w:pStyle w:val="SecondaryHeading-Numbered"/>
              <w:numPr>
                <w:ilvl w:val="0"/>
                <w:numId w:val="0"/>
              </w:numPr>
              <w:ind w:left="360" w:hanging="360"/>
              <w:rPr>
                <w:b w:val="0"/>
                <w:sz w:val="22"/>
              </w:rPr>
            </w:pPr>
            <w:r w:rsidRPr="00131541">
              <w:rPr>
                <w:sz w:val="22"/>
              </w:rPr>
              <w:t>Links/references to SCADA requirements</w:t>
            </w:r>
            <w:r w:rsidRPr="00DB1DEF">
              <w:rPr>
                <w:b w:val="0"/>
                <w:sz w:val="22"/>
              </w:rPr>
              <w:t xml:space="preserve"> – Refer to PJM Manual 01 and PJM Manual 03</w:t>
            </w:r>
          </w:p>
          <w:p w:rsidR="00DB1DEF" w:rsidRDefault="00DB1DEF" w:rsidP="00DB1DEF">
            <w:pPr>
              <w:pStyle w:val="SecondaryHeading-Numbered"/>
              <w:numPr>
                <w:ilvl w:val="0"/>
                <w:numId w:val="0"/>
              </w:numPr>
              <w:ind w:left="360" w:hanging="360"/>
              <w:rPr>
                <w:b w:val="0"/>
                <w:sz w:val="22"/>
              </w:rPr>
            </w:pPr>
          </w:p>
          <w:p w:rsidR="00DB1DEF" w:rsidRPr="00DB1DEF" w:rsidRDefault="00DB1DEF" w:rsidP="00551E0A">
            <w:pPr>
              <w:pStyle w:val="SecondaryHeading-Numbered"/>
              <w:numPr>
                <w:ilvl w:val="0"/>
                <w:numId w:val="0"/>
              </w:numPr>
              <w:rPr>
                <w:b w:val="0"/>
                <w:sz w:val="22"/>
              </w:rPr>
            </w:pPr>
            <w:proofErr w:type="spellStart"/>
            <w:r w:rsidRPr="00131541">
              <w:rPr>
                <w:sz w:val="22"/>
              </w:rPr>
              <w:t>Synchrophasors</w:t>
            </w:r>
            <w:proofErr w:type="spellEnd"/>
            <w:r>
              <w:rPr>
                <w:b w:val="0"/>
                <w:sz w:val="22"/>
              </w:rPr>
              <w:t xml:space="preserve"> </w:t>
            </w:r>
            <w:r w:rsidRPr="00DB1DEF">
              <w:rPr>
                <w:b w:val="0"/>
                <w:sz w:val="22"/>
              </w:rPr>
              <w:t xml:space="preserve">- PJM does not require </w:t>
            </w:r>
            <w:proofErr w:type="spellStart"/>
            <w:r w:rsidRPr="00DB1DEF">
              <w:rPr>
                <w:b w:val="0"/>
                <w:sz w:val="22"/>
              </w:rPr>
              <w:t>synchrophasors</w:t>
            </w:r>
            <w:proofErr w:type="spellEnd"/>
            <w:r w:rsidRPr="00DB1DEF">
              <w:rPr>
                <w:b w:val="0"/>
                <w:sz w:val="22"/>
              </w:rPr>
              <w:t xml:space="preserve"> (also called phasor m</w:t>
            </w:r>
            <w:r w:rsidR="00551E0A">
              <w:rPr>
                <w:b w:val="0"/>
                <w:sz w:val="22"/>
              </w:rPr>
              <w:t xml:space="preserve">easurement units or PMUs) to be </w:t>
            </w:r>
            <w:r w:rsidRPr="00DB1DEF">
              <w:rPr>
                <w:b w:val="0"/>
                <w:sz w:val="22"/>
              </w:rPr>
              <w:t xml:space="preserve">installed at substations that are constructed as baseline reliability projects.  PJM does receive data from PMUs that were installed voluntarily by PJM transmission owners. PJM encourages TOs to consider installing PMUs in substations and may comment to the transmission owner if the location is desirable from PJM operations perspective, but PMUs are not required for baseline transmission projects.  PMUs are required for new generation projects that meet criteria in para. 8.5.3 of Attachment O of the Tariff.  These requirements are applicable only to merchant generator projects that enter the PJM queue. </w:t>
            </w:r>
          </w:p>
          <w:p w:rsidR="00551E0A" w:rsidRDefault="00DB1DEF" w:rsidP="00DB1DEF">
            <w:pPr>
              <w:pStyle w:val="SecondaryHeading-Numbered"/>
              <w:numPr>
                <w:ilvl w:val="0"/>
                <w:numId w:val="0"/>
              </w:numPr>
              <w:ind w:left="360" w:hanging="360"/>
              <w:rPr>
                <w:b w:val="0"/>
              </w:rPr>
            </w:pPr>
            <w:r w:rsidRPr="00DB1DEF">
              <w:rPr>
                <w:b w:val="0"/>
                <w:sz w:val="22"/>
              </w:rPr>
              <w:t>For more details, please see</w:t>
            </w:r>
            <w:r w:rsidR="00551E0A">
              <w:rPr>
                <w:b w:val="0"/>
                <w:sz w:val="22"/>
              </w:rPr>
              <w:t xml:space="preserve"> link below and materials posted for 6/15/16 meeting</w:t>
            </w:r>
            <w:r w:rsidRPr="00DB1DEF">
              <w:rPr>
                <w:b w:val="0"/>
                <w:sz w:val="22"/>
              </w:rPr>
              <w:t>:</w:t>
            </w:r>
            <w:r w:rsidRPr="00DB1DEF">
              <w:rPr>
                <w:b w:val="0"/>
              </w:rPr>
              <w:t xml:space="preserve"> </w:t>
            </w:r>
          </w:p>
          <w:p w:rsidR="00DB1DEF" w:rsidRPr="00CF1A58" w:rsidRDefault="00A40492" w:rsidP="00DB1DEF">
            <w:pPr>
              <w:pStyle w:val="SecondaryHeading-Numbered"/>
              <w:numPr>
                <w:ilvl w:val="0"/>
                <w:numId w:val="0"/>
              </w:numPr>
              <w:ind w:left="360" w:hanging="360"/>
              <w:rPr>
                <w:color w:val="1F497D"/>
                <w:sz w:val="22"/>
              </w:rPr>
            </w:pPr>
            <w:hyperlink r:id="rId9" w:history="1">
              <w:r w:rsidR="00DB1DEF" w:rsidRPr="00CF1A58">
                <w:rPr>
                  <w:rStyle w:val="Hyperlink"/>
                  <w:b w:val="0"/>
                  <w:sz w:val="22"/>
                </w:rPr>
                <w:t>http://www.pjm.com/~/media/committees-groups/committees/pc/20160310/20160310-item-08b-pmu-placement-strategy-non-ceii.ashx</w:t>
              </w:r>
            </w:hyperlink>
          </w:p>
          <w:p w:rsidR="00131541" w:rsidRDefault="00131541" w:rsidP="00BB531B">
            <w:pPr>
              <w:pStyle w:val="AttendeesList"/>
              <w:rPr>
                <w:sz w:val="22"/>
                <w:szCs w:val="22"/>
              </w:rPr>
            </w:pPr>
          </w:p>
          <w:p w:rsidR="00551E0A" w:rsidRDefault="00551E0A" w:rsidP="00BB531B">
            <w:pPr>
              <w:pStyle w:val="AttendeesList"/>
              <w:rPr>
                <w:sz w:val="22"/>
                <w:szCs w:val="22"/>
              </w:rPr>
            </w:pPr>
            <w:r w:rsidRPr="00131541">
              <w:rPr>
                <w:b/>
                <w:sz w:val="22"/>
                <w:szCs w:val="22"/>
              </w:rPr>
              <w:t>HVDC lines and connections</w:t>
            </w:r>
            <w:r w:rsidR="00131541" w:rsidRPr="00131541">
              <w:rPr>
                <w:sz w:val="22"/>
                <w:szCs w:val="22"/>
              </w:rPr>
              <w:t xml:space="preserve"> - PJM SME will provide a brief outline of bid evaluation process related to HVDC proposals at the Lines Subgroup meeting</w:t>
            </w:r>
            <w:r w:rsidR="00131541">
              <w:rPr>
                <w:sz w:val="22"/>
                <w:szCs w:val="22"/>
              </w:rPr>
              <w:t xml:space="preserve"> on 6/15/16</w:t>
            </w:r>
          </w:p>
          <w:p w:rsidR="006123D8" w:rsidRDefault="006123D8" w:rsidP="00BB531B">
            <w:pPr>
              <w:pStyle w:val="AttendeesList"/>
              <w:rPr>
                <w:sz w:val="22"/>
                <w:szCs w:val="22"/>
              </w:rPr>
            </w:pPr>
          </w:p>
          <w:p w:rsidR="006123D8" w:rsidRPr="006123D8" w:rsidRDefault="006123D8" w:rsidP="00BB531B">
            <w:pPr>
              <w:pStyle w:val="AttendeesList"/>
              <w:rPr>
                <w:sz w:val="22"/>
                <w:szCs w:val="22"/>
              </w:rPr>
            </w:pPr>
            <w:r w:rsidRPr="006123D8">
              <w:rPr>
                <w:b/>
                <w:sz w:val="22"/>
                <w:szCs w:val="22"/>
              </w:rPr>
              <w:t>Circulate TSS red line document provided by the TSS</w:t>
            </w:r>
            <w:r>
              <w:rPr>
                <w:b/>
                <w:sz w:val="22"/>
                <w:szCs w:val="22"/>
              </w:rPr>
              <w:t xml:space="preserve"> </w:t>
            </w:r>
            <w:r>
              <w:rPr>
                <w:sz w:val="22"/>
                <w:szCs w:val="22"/>
              </w:rPr>
              <w:t>– In progress</w:t>
            </w:r>
          </w:p>
          <w:p w:rsidR="00F0601E" w:rsidRPr="00724851" w:rsidRDefault="00F0601E" w:rsidP="00BB531B">
            <w:pPr>
              <w:pStyle w:val="AttendeesList"/>
              <w:rPr>
                <w:sz w:val="22"/>
                <w:szCs w:val="22"/>
              </w:rPr>
            </w:pPr>
          </w:p>
        </w:tc>
      </w:tr>
      <w:tr w:rsidR="00BB531B" w:rsidTr="00BB531B">
        <w:tc>
          <w:tcPr>
            <w:tcW w:w="9576" w:type="dxa"/>
            <w:gridSpan w:val="3"/>
          </w:tcPr>
          <w:p w:rsidR="00BB531B" w:rsidRDefault="00606F11" w:rsidP="00BB531B">
            <w:pPr>
              <w:pStyle w:val="PrimaryHeading"/>
            </w:pPr>
            <w:r>
              <w:t>Future Meeting Dates</w:t>
            </w:r>
          </w:p>
        </w:tc>
      </w:tr>
      <w:tr w:rsidR="00EE68C4" w:rsidTr="00BB531B">
        <w:tc>
          <w:tcPr>
            <w:tcW w:w="3192" w:type="dxa"/>
            <w:vAlign w:val="center"/>
          </w:tcPr>
          <w:p w:rsidR="00EE68C4" w:rsidRDefault="00EE68C4" w:rsidP="00FF1DBF">
            <w:pPr>
              <w:pStyle w:val="AttendeesList"/>
            </w:pPr>
            <w:r>
              <w:t>July 19,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August 17,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September 12,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October 25,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November 15,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December 12,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A317A9" w:rsidRPr="00B62597" w:rsidRDefault="00A317A9" w:rsidP="00337321">
      <w:pPr>
        <w:pStyle w:val="Author"/>
      </w:pPr>
    </w:p>
    <w:p w:rsidR="000A42AD" w:rsidRDefault="000A42AD" w:rsidP="00DB29E9">
      <w:pPr>
        <w:pStyle w:val="DisclaimerHeading"/>
      </w:pPr>
    </w:p>
    <w:p w:rsidR="00131541" w:rsidRDefault="00131541" w:rsidP="00DB29E9">
      <w:pPr>
        <w:pStyle w:val="DisclaimerHeading"/>
      </w:pPr>
    </w:p>
    <w:p w:rsidR="00131541" w:rsidRDefault="0013154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492" w:rsidRDefault="00A40492" w:rsidP="00B62597">
      <w:pPr>
        <w:spacing w:after="0" w:line="240" w:lineRule="auto"/>
      </w:pPr>
      <w:r>
        <w:separator/>
      </w:r>
    </w:p>
  </w:endnote>
  <w:endnote w:type="continuationSeparator" w:id="0">
    <w:p w:rsidR="00A40492" w:rsidRDefault="00A4049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0618">
      <w:rPr>
        <w:rStyle w:val="PageNumber"/>
        <w:noProof/>
      </w:rPr>
      <w:t>1</w:t>
    </w:r>
    <w:r>
      <w:rPr>
        <w:rStyle w:val="PageNumber"/>
      </w:rPr>
      <w:fldChar w:fldCharType="end"/>
    </w:r>
  </w:p>
  <w:bookmarkStart w:id="3"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492" w:rsidRDefault="00A40492" w:rsidP="00B62597">
      <w:pPr>
        <w:spacing w:after="0" w:line="240" w:lineRule="auto"/>
      </w:pPr>
      <w:r>
        <w:separator/>
      </w:r>
    </w:p>
  </w:footnote>
  <w:footnote w:type="continuationSeparator" w:id="0">
    <w:p w:rsidR="00A40492" w:rsidRDefault="00A4049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41B"/>
    <w:multiLevelType w:val="hybridMultilevel"/>
    <w:tmpl w:val="6E4CD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C4184"/>
    <w:multiLevelType w:val="hybridMultilevel"/>
    <w:tmpl w:val="3114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93B40D6"/>
    <w:multiLevelType w:val="hybridMultilevel"/>
    <w:tmpl w:val="23E8D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176080"/>
    <w:multiLevelType w:val="hybridMultilevel"/>
    <w:tmpl w:val="BA587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DD61EA"/>
    <w:multiLevelType w:val="hybridMultilevel"/>
    <w:tmpl w:val="392E1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5"/>
  </w:num>
  <w:num w:numId="10">
    <w:abstractNumId w:val="2"/>
  </w:num>
  <w:num w:numId="11">
    <w:abstractNumId w:val="6"/>
  </w:num>
  <w:num w:numId="12">
    <w:abstractNumId w:val="3"/>
  </w:num>
  <w:num w:numId="13">
    <w:abstractNumId w:val="9"/>
  </w:num>
  <w:num w:numId="14">
    <w:abstractNumId w:val="6"/>
  </w:num>
  <w:num w:numId="15">
    <w:abstractNumId w:val="6"/>
  </w:num>
  <w:num w:numId="16">
    <w:abstractNumId w:val="6"/>
  </w:num>
  <w:num w:numId="17">
    <w:abstractNumId w:val="13"/>
  </w:num>
  <w:num w:numId="18">
    <w:abstractNumId w:val="6"/>
  </w:num>
  <w:num w:numId="19">
    <w:abstractNumId w:val="7"/>
  </w:num>
  <w:num w:numId="20">
    <w:abstractNumId w:val="6"/>
  </w:num>
  <w:num w:numId="21">
    <w:abstractNumId w:val="1"/>
  </w:num>
  <w:num w:numId="22">
    <w:abstractNumId w:val="6"/>
  </w:num>
  <w:num w:numId="23">
    <w:abstractNumId w:val="6"/>
  </w:num>
  <w:num w:numId="24">
    <w:abstractNumId w:val="6"/>
  </w:num>
  <w:num w:numId="25">
    <w:abstractNumId w:val="12"/>
  </w:num>
  <w:num w:numId="26">
    <w:abstractNumId w:val="6"/>
  </w:num>
  <w:num w:numId="27">
    <w:abstractNumId w:val="9"/>
  </w:num>
  <w:num w:numId="28">
    <w:abstractNumId w:val="0"/>
  </w:num>
  <w:num w:numId="29">
    <w:abstractNumId w:val="6"/>
  </w:num>
  <w:num w:numId="30">
    <w:abstractNumId w:val="17"/>
  </w:num>
  <w:num w:numId="31">
    <w:abstractNumId w:val="4"/>
  </w:num>
  <w:num w:numId="32">
    <w:abstractNumId w:val="6"/>
  </w:num>
  <w:num w:numId="33">
    <w:abstractNumId w:val="15"/>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A42AD"/>
    <w:rsid w:val="000F285A"/>
    <w:rsid w:val="00131541"/>
    <w:rsid w:val="001B2242"/>
    <w:rsid w:val="001C0CC0"/>
    <w:rsid w:val="001D3B68"/>
    <w:rsid w:val="002113BD"/>
    <w:rsid w:val="0026642F"/>
    <w:rsid w:val="002B2F98"/>
    <w:rsid w:val="002C2F56"/>
    <w:rsid w:val="00305238"/>
    <w:rsid w:val="00337321"/>
    <w:rsid w:val="003430EF"/>
    <w:rsid w:val="003A7CFE"/>
    <w:rsid w:val="003B55E1"/>
    <w:rsid w:val="003D7E5C"/>
    <w:rsid w:val="003E7A73"/>
    <w:rsid w:val="00410151"/>
    <w:rsid w:val="00491490"/>
    <w:rsid w:val="004969FA"/>
    <w:rsid w:val="004F264F"/>
    <w:rsid w:val="00551E0A"/>
    <w:rsid w:val="00556D1B"/>
    <w:rsid w:val="00564DEE"/>
    <w:rsid w:val="0057441E"/>
    <w:rsid w:val="005D6D05"/>
    <w:rsid w:val="00602967"/>
    <w:rsid w:val="00606F11"/>
    <w:rsid w:val="006123D8"/>
    <w:rsid w:val="00676FA7"/>
    <w:rsid w:val="006D2B97"/>
    <w:rsid w:val="006E58DA"/>
    <w:rsid w:val="00712CAA"/>
    <w:rsid w:val="00716A8B"/>
    <w:rsid w:val="00724851"/>
    <w:rsid w:val="00754C6D"/>
    <w:rsid w:val="00755096"/>
    <w:rsid w:val="0079292F"/>
    <w:rsid w:val="007A34A3"/>
    <w:rsid w:val="007E7CAB"/>
    <w:rsid w:val="00837B12"/>
    <w:rsid w:val="00841282"/>
    <w:rsid w:val="00882652"/>
    <w:rsid w:val="008C2B39"/>
    <w:rsid w:val="008D0F24"/>
    <w:rsid w:val="00907819"/>
    <w:rsid w:val="00917386"/>
    <w:rsid w:val="00917F05"/>
    <w:rsid w:val="009A5430"/>
    <w:rsid w:val="009C15C4"/>
    <w:rsid w:val="00A05391"/>
    <w:rsid w:val="00A317A9"/>
    <w:rsid w:val="00A40492"/>
    <w:rsid w:val="00A53EB3"/>
    <w:rsid w:val="00B16D95"/>
    <w:rsid w:val="00B20316"/>
    <w:rsid w:val="00B34E3C"/>
    <w:rsid w:val="00B50BE3"/>
    <w:rsid w:val="00B62597"/>
    <w:rsid w:val="00BA6146"/>
    <w:rsid w:val="00BB420B"/>
    <w:rsid w:val="00BB531B"/>
    <w:rsid w:val="00BF331B"/>
    <w:rsid w:val="00C2240E"/>
    <w:rsid w:val="00C439EC"/>
    <w:rsid w:val="00C53E05"/>
    <w:rsid w:val="00C72168"/>
    <w:rsid w:val="00C800A5"/>
    <w:rsid w:val="00CA49B9"/>
    <w:rsid w:val="00CC1B47"/>
    <w:rsid w:val="00CF1A58"/>
    <w:rsid w:val="00D136EA"/>
    <w:rsid w:val="00D20618"/>
    <w:rsid w:val="00D251ED"/>
    <w:rsid w:val="00D3254B"/>
    <w:rsid w:val="00D95949"/>
    <w:rsid w:val="00D96466"/>
    <w:rsid w:val="00DA259C"/>
    <w:rsid w:val="00DB1DEF"/>
    <w:rsid w:val="00DB29E9"/>
    <w:rsid w:val="00DE34CF"/>
    <w:rsid w:val="00E03F02"/>
    <w:rsid w:val="00E91ED7"/>
    <w:rsid w:val="00EB68B0"/>
    <w:rsid w:val="00EC11C3"/>
    <w:rsid w:val="00EE68C4"/>
    <w:rsid w:val="00F0601E"/>
    <w:rsid w:val="00F24544"/>
    <w:rsid w:val="00F4190F"/>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363671634">
      <w:bodyDiv w:val="1"/>
      <w:marLeft w:val="0"/>
      <w:marRight w:val="0"/>
      <w:marTop w:val="0"/>
      <w:marBottom w:val="0"/>
      <w:divBdr>
        <w:top w:val="none" w:sz="0" w:space="0" w:color="auto"/>
        <w:left w:val="none" w:sz="0" w:space="0" w:color="auto"/>
        <w:bottom w:val="none" w:sz="0" w:space="0" w:color="auto"/>
        <w:right w:val="none" w:sz="0" w:space="0" w:color="auto"/>
      </w:divBdr>
    </w:div>
    <w:div w:id="866679231">
      <w:bodyDiv w:val="1"/>
      <w:marLeft w:val="0"/>
      <w:marRight w:val="0"/>
      <w:marTop w:val="0"/>
      <w:marBottom w:val="0"/>
      <w:divBdr>
        <w:top w:val="none" w:sz="0" w:space="0" w:color="auto"/>
        <w:left w:val="none" w:sz="0" w:space="0" w:color="auto"/>
        <w:bottom w:val="none" w:sz="0" w:space="0" w:color="auto"/>
        <w:right w:val="none" w:sz="0" w:space="0" w:color="auto"/>
      </w:divBdr>
    </w:div>
    <w:div w:id="1432163586">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502893254">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jm.com/~/media/committees-groups/committees/pc/20160310/20160310-item-08b-pmu-placement-strategy-non-ceii.ash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4611</Characters>
  <Application>Microsoft Office Word</Application>
  <DocSecurity>0</DocSecurity>
  <Lines>128</Lines>
  <Paragraphs>85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2016-06-10T15:33:00Z</dcterms:created>
  <dcterms:modified xsi:type="dcterms:W3CDTF">2016-06-10T15:33:00Z</dcterms:modified>
</cp:coreProperties>
</file>