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E516D7">
        <w:t>July 1</w:t>
      </w:r>
      <w:r w:rsidR="00BE7E41">
        <w:t>4</w:t>
      </w:r>
      <w:r>
        <w:t>, 202</w:t>
      </w:r>
      <w:r w:rsidR="00E516D7">
        <w:t>5</w:t>
      </w:r>
    </w:p>
    <w:p w:rsidR="00E516D7" w:rsidRPr="00B62597" w:rsidP="00E516D7">
      <w:pPr>
        <w:pStyle w:val="MeetingDetails"/>
      </w:pPr>
      <w:r>
        <w:t>Dispatcher Training Subcommittee</w:t>
      </w:r>
      <w:bookmarkStart w:id="0" w:name="_GoBack"/>
      <w:bookmarkEnd w:id="0"/>
    </w:p>
    <w:p w:rsidR="00E516D7" w:rsidRPr="00B62597" w:rsidP="00E516D7">
      <w:pPr>
        <w:pStyle w:val="MeetingDetails"/>
      </w:pPr>
      <w:r>
        <w:t>WebEx</w:t>
      </w:r>
    </w:p>
    <w:p w:rsidR="00B62597" w:rsidRPr="00B62597" w:rsidP="00755096">
      <w:pPr>
        <w:pStyle w:val="MeetingDetails"/>
      </w:pPr>
      <w:r>
        <w:t>July 15</w:t>
      </w:r>
      <w:r w:rsidR="002B2F98">
        <w:t xml:space="preserve">, </w:t>
      </w:r>
      <w:r w:rsidR="009B2B7E">
        <w:t>2025</w:t>
      </w:r>
    </w:p>
    <w:p w:rsidR="00B62597" w:rsidRPr="00B62597" w:rsidP="00755096">
      <w:pPr>
        <w:pStyle w:val="MeetingDetails"/>
        <w:rPr>
          <w:sz w:val="28"/>
          <w:u w:val="single"/>
        </w:rPr>
      </w:pPr>
      <w:r>
        <w:t>0</w:t>
      </w:r>
      <w:r w:rsidR="00E516D7">
        <w:t>9</w:t>
      </w:r>
      <w:r>
        <w:t xml:space="preserve">:00 </w:t>
      </w:r>
      <w:r w:rsidR="00010057">
        <w:t>a</w:t>
      </w:r>
      <w:r>
        <w:t xml:space="preserve">.m. – </w:t>
      </w:r>
      <w:r w:rsidR="00E516D7">
        <w:t>1</w:t>
      </w:r>
      <w:r>
        <w:t>0</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(0</w:t>
      </w:r>
      <w:r w:rsidR="00E516D7">
        <w:t>9</w:t>
      </w:r>
      <w:r w:rsidRPr="00527104">
        <w:t>:00-0</w:t>
      </w:r>
      <w:r w:rsidR="00E516D7">
        <w:t>9</w:t>
      </w:r>
      <w:r w:rsidRPr="00527104">
        <w:t>:</w:t>
      </w:r>
      <w:r w:rsidR="00E516D7">
        <w:t>1</w:t>
      </w:r>
      <w:r w:rsidRPr="00527104">
        <w:t>0)</w:t>
      </w:r>
    </w:p>
    <w:bookmarkEnd w:id="1"/>
    <w:bookmarkEnd w:id="2"/>
    <w:p w:rsidR="002C6057" w:rsidP="002C6057">
      <w:pPr>
        <w:pStyle w:val="SecondaryHeading-Numbered"/>
      </w:pPr>
      <w:r>
        <w:t>Welcome</w:t>
      </w:r>
    </w:p>
    <w:p w:rsidR="00E516D7" w:rsidRPr="00E516D7" w:rsidP="00E516D7">
      <w:pPr>
        <w:pStyle w:val="ListSubhead1"/>
        <w:numPr>
          <w:ilvl w:val="0"/>
          <w:numId w:val="0"/>
        </w:numPr>
        <w:ind w:left="360"/>
        <w:rPr>
          <w:b w:val="0"/>
        </w:rPr>
      </w:pPr>
      <w:r>
        <w:rPr>
          <w:b w:val="0"/>
        </w:rPr>
        <w:t>Marc Farinas, PJM, will review announcements, anti-trust, Code of Conduct and attendance.</w:t>
      </w:r>
    </w:p>
    <w:p w:rsidR="00E516D7" w:rsidP="00E516D7">
      <w:pPr>
        <w:pStyle w:val="SecondaryHeading-Numbered"/>
      </w:pPr>
      <w:r>
        <w:t>Request for any additional agenda items</w:t>
      </w:r>
    </w:p>
    <w:p w:rsidR="00E516D7" w:rsidP="00E516D7">
      <w:pPr>
        <w:pStyle w:val="SecondaryHeading-Numbered"/>
      </w:pPr>
      <w:r w:rsidRPr="00E516D7">
        <w:t xml:space="preserve">Approval of meeting minutes from </w:t>
      </w:r>
      <w:r>
        <w:t>June</w:t>
      </w:r>
      <w:r w:rsidRPr="00E516D7">
        <w:t xml:space="preserve"> 2025</w:t>
      </w:r>
    </w:p>
    <w:p w:rsidR="001D3B68" w:rsidRPr="00DB29E9" w:rsidP="007C2954">
      <w:pPr>
        <w:pStyle w:val="PrimaryHeading"/>
      </w:pPr>
      <w:r w:rsidRPr="00E516D7">
        <w:t>Monthly Items &amp; Training Updates (9:05-9:50</w:t>
      </w:r>
      <w:r>
        <w:t>)</w:t>
      </w:r>
    </w:p>
    <w:p w:rsidR="00E516D7" w:rsidRPr="003E6DF4" w:rsidP="00E516D7">
      <w:pPr>
        <w:pStyle w:val="SecondaryHeading-Numbered"/>
      </w:pPr>
      <w:r w:rsidRPr="003E6DF4">
        <w:t xml:space="preserve">Compliance Update </w:t>
      </w:r>
      <w:r>
        <w:rPr>
          <w:b w:val="0"/>
        </w:rPr>
        <w:t>(</w:t>
      </w:r>
      <w:r w:rsidRPr="003E6DF4">
        <w:rPr>
          <w:b w:val="0"/>
        </w:rPr>
        <w:t>9:05 – 9:1</w:t>
      </w:r>
      <w:r>
        <w:rPr>
          <w:b w:val="0"/>
        </w:rPr>
        <w:t>5</w:t>
      </w:r>
      <w:r w:rsidRPr="003E6DF4">
        <w:rPr>
          <w:b w:val="0"/>
        </w:rPr>
        <w:t>)</w:t>
      </w:r>
    </w:p>
    <w:p w:rsidR="00E516D7" w:rsidP="00E516D7">
      <w:pPr>
        <w:pStyle w:val="SecondaryHeading-Numbered"/>
        <w:numPr>
          <w:ilvl w:val="0"/>
          <w:numId w:val="0"/>
        </w:numPr>
        <w:ind w:left="360"/>
        <w:rPr>
          <w:b w:val="0"/>
        </w:rPr>
      </w:pPr>
      <w:r>
        <w:rPr>
          <w:b w:val="0"/>
        </w:rPr>
        <w:t>PJM will provide an update on member compliance with PJM Training and Certification requirements, per Manual 40.</w:t>
      </w:r>
    </w:p>
    <w:p w:rsidR="00E516D7" w:rsidP="00E516D7">
      <w:pPr>
        <w:pStyle w:val="SecondaryHeading-Numbered"/>
        <w:numPr>
          <w:ilvl w:val="0"/>
          <w:numId w:val="0"/>
        </w:numPr>
        <w:ind w:left="360"/>
        <w:rPr>
          <w:b w:val="0"/>
        </w:rPr>
      </w:pPr>
      <w:r>
        <w:rPr>
          <w:b w:val="0"/>
        </w:rPr>
        <w:t>PJM will also provide an update on the status of the Transmission Task Opt Outs.</w:t>
      </w:r>
    </w:p>
    <w:p w:rsidR="00E516D7" w:rsidRPr="00E516D7" w:rsidP="00E516D7">
      <w:pPr>
        <w:pStyle w:val="SecondaryHeading-Numbered"/>
      </w:pPr>
      <w:r>
        <w:t xml:space="preserve">PJM Drills </w:t>
      </w:r>
      <w:r>
        <w:rPr>
          <w:b w:val="0"/>
        </w:rPr>
        <w:t>(9:15 – 9:30)</w:t>
      </w:r>
    </w:p>
    <w:p w:rsidR="00E516D7" w:rsidP="00E516D7">
      <w:pPr>
        <w:pStyle w:val="SecondaryHeading-Numbered"/>
        <w:numPr>
          <w:ilvl w:val="0"/>
          <w:numId w:val="0"/>
        </w:numPr>
        <w:spacing w:after="0"/>
        <w:ind w:left="360"/>
        <w:rPr>
          <w:b w:val="0"/>
        </w:rPr>
      </w:pPr>
      <w:r>
        <w:rPr>
          <w:b w:val="0"/>
        </w:rPr>
        <w:t>PJM will provide an update on drill activities.</w:t>
      </w:r>
    </w:p>
    <w:p w:rsidR="00E516D7" w:rsidP="00E516D7">
      <w:pPr>
        <w:pStyle w:val="SecondaryHeading-Numbered"/>
        <w:numPr>
          <w:ilvl w:val="0"/>
          <w:numId w:val="0"/>
        </w:numPr>
        <w:spacing w:after="0" w:line="276" w:lineRule="auto"/>
        <w:ind w:left="360"/>
        <w:rPr>
          <w:b w:val="0"/>
        </w:rPr>
      </w:pPr>
    </w:p>
    <w:p w:rsidR="00E516D7" w:rsidRPr="005B3E29" w:rsidP="00E516D7">
      <w:pPr>
        <w:pStyle w:val="SecondaryHeading-Numbered"/>
        <w:numPr>
          <w:ilvl w:val="0"/>
          <w:numId w:val="0"/>
        </w:numPr>
        <w:tabs>
          <w:tab w:val="left" w:pos="4860"/>
        </w:tabs>
        <w:spacing w:after="0" w:line="276" w:lineRule="auto"/>
        <w:ind w:left="360" w:hanging="360"/>
        <w:rPr>
          <w:b w:val="0"/>
        </w:rPr>
      </w:pPr>
      <w:r>
        <w:rPr>
          <w:b w:val="0"/>
        </w:rPr>
        <w:tab/>
      </w:r>
      <w:r w:rsidRPr="003E6DF4">
        <w:rPr>
          <w:b w:val="0"/>
        </w:rPr>
        <w:t>202</w:t>
      </w:r>
      <w:r>
        <w:rPr>
          <w:b w:val="0"/>
        </w:rPr>
        <w:t>5</w:t>
      </w:r>
      <w:r w:rsidRPr="003E6DF4">
        <w:rPr>
          <w:b w:val="0"/>
        </w:rPr>
        <w:t xml:space="preserve"> </w:t>
      </w:r>
      <w:r>
        <w:rPr>
          <w:b w:val="0"/>
        </w:rPr>
        <w:t>Grid Ex Drill</w:t>
      </w:r>
      <w:r>
        <w:rPr>
          <w:b w:val="0"/>
        </w:rPr>
        <w:tab/>
        <w:t>11/18-11/19/25</w:t>
      </w:r>
      <w:r>
        <w:rPr>
          <w:b w:val="0"/>
          <w:i/>
        </w:rPr>
        <w:t xml:space="preserve"> </w:t>
      </w:r>
    </w:p>
    <w:p w:rsidR="00E516D7" w:rsidRPr="009A3EA2" w:rsidP="00E516D7">
      <w:pPr>
        <w:pStyle w:val="SecondaryHeading-Numbered"/>
        <w:numPr>
          <w:ilvl w:val="0"/>
          <w:numId w:val="0"/>
        </w:numPr>
        <w:tabs>
          <w:tab w:val="left" w:pos="4860"/>
        </w:tabs>
        <w:spacing w:after="0" w:line="276" w:lineRule="auto"/>
        <w:ind w:left="360"/>
        <w:rPr>
          <w:b w:val="0"/>
          <w:i/>
        </w:rPr>
      </w:pPr>
      <w:r w:rsidRPr="009A3EA2">
        <w:rPr>
          <w:b w:val="0"/>
        </w:rPr>
        <w:t>202</w:t>
      </w:r>
      <w:r>
        <w:rPr>
          <w:b w:val="0"/>
        </w:rPr>
        <w:t>5</w:t>
      </w:r>
      <w:r w:rsidRPr="009A3EA2">
        <w:rPr>
          <w:b w:val="0"/>
        </w:rPr>
        <w:t xml:space="preserve"> </w:t>
      </w:r>
      <w:r>
        <w:rPr>
          <w:b w:val="0"/>
        </w:rPr>
        <w:t>Fall Restoration Drills</w:t>
      </w:r>
      <w:r>
        <w:rPr>
          <w:b w:val="0"/>
        </w:rPr>
        <w:tab/>
      </w:r>
      <w:r w:rsidR="0001037C">
        <w:rPr>
          <w:b w:val="0"/>
        </w:rPr>
        <w:t>9/16-10/23/25</w:t>
      </w:r>
      <w:r w:rsidRPr="009A3EA2">
        <w:rPr>
          <w:b w:val="0"/>
          <w:i/>
        </w:rPr>
        <w:t xml:space="preserve"> </w:t>
      </w:r>
    </w:p>
    <w:p w:rsidR="00E516D7" w:rsidRPr="005D7824" w:rsidP="00E516D7">
      <w:pPr>
        <w:pStyle w:val="SecondaryHeading-Numbered"/>
        <w:numPr>
          <w:ilvl w:val="0"/>
          <w:numId w:val="0"/>
        </w:numPr>
        <w:tabs>
          <w:tab w:val="left" w:pos="4860"/>
        </w:tabs>
        <w:spacing w:after="0" w:line="276" w:lineRule="auto"/>
        <w:ind w:left="360"/>
        <w:rPr>
          <w:b w:val="0"/>
          <w:i/>
        </w:rPr>
      </w:pPr>
      <w:r w:rsidRPr="009A3EA2">
        <w:rPr>
          <w:b w:val="0"/>
        </w:rPr>
        <w:t>202</w:t>
      </w:r>
      <w:r>
        <w:rPr>
          <w:b w:val="0"/>
        </w:rPr>
        <w:t>5</w:t>
      </w:r>
      <w:r w:rsidRPr="009A3EA2">
        <w:rPr>
          <w:b w:val="0"/>
        </w:rPr>
        <w:t xml:space="preserve"> Win</w:t>
      </w:r>
      <w:r>
        <w:rPr>
          <w:b w:val="0"/>
        </w:rPr>
        <w:t>ter Emergency Procedures Drill</w:t>
      </w:r>
      <w:r>
        <w:rPr>
          <w:b w:val="0"/>
        </w:rPr>
        <w:tab/>
        <w:t>TBD</w:t>
      </w:r>
    </w:p>
    <w:p w:rsidR="00E516D7" w:rsidRPr="00E516D7" w:rsidP="00E516D7">
      <w:pPr>
        <w:pStyle w:val="ListSubhead1"/>
        <w:numPr>
          <w:ilvl w:val="0"/>
          <w:numId w:val="0"/>
        </w:numPr>
        <w:ind w:left="360"/>
      </w:pPr>
    </w:p>
    <w:p w:rsidR="00E516D7" w:rsidP="00E516D7">
      <w:pPr>
        <w:pStyle w:val="SecondaryHeading-Numbered"/>
      </w:pPr>
      <w:r>
        <w:t xml:space="preserve">Training Items </w:t>
      </w:r>
      <w:r>
        <w:rPr>
          <w:b w:val="0"/>
        </w:rPr>
        <w:t>(9:30 – 9:40)</w:t>
      </w:r>
    </w:p>
    <w:p w:rsidR="00E516D7" w:rsidP="00E516D7">
      <w:pPr>
        <w:pStyle w:val="SecondaryHeading-Numbered"/>
        <w:numPr>
          <w:ilvl w:val="0"/>
          <w:numId w:val="18"/>
        </w:numPr>
        <w:rPr>
          <w:b w:val="0"/>
        </w:rPr>
      </w:pPr>
      <w:r>
        <w:rPr>
          <w:b w:val="0"/>
        </w:rPr>
        <w:t>Certification Program Update</w:t>
      </w:r>
    </w:p>
    <w:p w:rsidR="00E516D7" w:rsidP="00E516D7">
      <w:pPr>
        <w:pStyle w:val="SecondaryHeading-Numbered"/>
        <w:numPr>
          <w:ilvl w:val="0"/>
          <w:numId w:val="18"/>
        </w:numPr>
        <w:rPr>
          <w:b w:val="0"/>
        </w:rPr>
      </w:pPr>
      <w:r>
        <w:rPr>
          <w:b w:val="0"/>
        </w:rPr>
        <w:t>Annual Training Plan Update</w:t>
      </w:r>
    </w:p>
    <w:p w:rsidR="00E516D7" w:rsidP="00E516D7">
      <w:pPr>
        <w:pStyle w:val="SecondaryHeading-Numbered"/>
        <w:numPr>
          <w:ilvl w:val="0"/>
          <w:numId w:val="18"/>
        </w:numPr>
        <w:rPr>
          <w:b w:val="0"/>
        </w:rPr>
      </w:pPr>
      <w:r>
        <w:rPr>
          <w:b w:val="0"/>
        </w:rPr>
        <w:t>PJM Training Program Mid-year Evaluations</w:t>
      </w:r>
    </w:p>
    <w:p w:rsidR="00E516D7" w:rsidRPr="00F60D59" w:rsidP="00E516D7">
      <w:pPr>
        <w:pStyle w:val="SecondaryHeading-Numbered"/>
      </w:pPr>
      <w:r w:rsidRPr="00E516D7">
        <w:t xml:space="preserve">Additional Items from the DTS </w:t>
      </w:r>
      <w:r w:rsidRPr="00E516D7">
        <w:rPr>
          <w:b w:val="0"/>
        </w:rPr>
        <w:t>(9:40 – 9:50)</w:t>
      </w:r>
    </w:p>
    <w:p w:rsidR="00E516D7" w:rsidP="00E516D7">
      <w:pPr>
        <w:pStyle w:val="PrimaryHeading"/>
      </w:pPr>
      <w:r>
        <w:t>Information Only Posting</w:t>
      </w:r>
    </w:p>
    <w:p w:rsidR="001B2242" w:rsidRPr="00E516D7" w:rsidP="00E516D7">
      <w:pPr>
        <w:pStyle w:val="SecondaryHeading-Numbered"/>
        <w:rPr>
          <w:b w:val="0"/>
        </w:rPr>
      </w:pPr>
      <w:r w:rsidRPr="00E516D7">
        <w:rPr>
          <w:b w:val="0"/>
        </w:rPr>
        <w:t>See Ju</w:t>
      </w:r>
      <w:r w:rsidR="00BE7E41">
        <w:rPr>
          <w:b w:val="0"/>
        </w:rPr>
        <w:t>ly</w:t>
      </w:r>
      <w:r w:rsidRPr="00E516D7">
        <w:rPr>
          <w:b w:val="0"/>
        </w:rPr>
        <w:t xml:space="preserve"> OC Meeting Materials for Reliability Compliance Update: </w:t>
      </w:r>
      <w:hyperlink r:id="rId4" w:history="1">
        <w:r w:rsidRPr="00E516D7">
          <w:rPr>
            <w:rStyle w:val="Hyperlink"/>
            <w:b w:val="0"/>
          </w:rPr>
          <w:t>OC Website</w:t>
        </w:r>
      </w:hyperlink>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9D761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4"/>
        <w:gridCol w:w="1086"/>
        <w:gridCol w:w="3230"/>
        <w:gridCol w:w="1810"/>
        <w:gridCol w:w="1525"/>
      </w:tblGrid>
      <w:tr w:rsidTr="00E516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516D7">
        <w:tblPrEx>
          <w:tblW w:w="0" w:type="auto"/>
          <w:tblLook w:val="04A0"/>
        </w:tblPrEx>
        <w:trPr>
          <w:trHeight w:val="296"/>
        </w:trPr>
        <w:tc>
          <w:tcPr>
            <w:tcW w:w="1704"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086"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2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516D7">
        <w:tblPrEx>
          <w:tblW w:w="0" w:type="auto"/>
          <w:tblLook w:val="04A0"/>
        </w:tblPrEx>
        <w:trPr>
          <w:trHeight w:val="331"/>
        </w:trPr>
        <w:tc>
          <w:tcPr>
            <w:tcW w:w="1704"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086"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2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3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516D7">
        <w:tblPrEx>
          <w:tblW w:w="0" w:type="auto"/>
          <w:tblLook w:val="04A0"/>
        </w:tblPrEx>
        <w:trPr>
          <w:trHeight w:val="331"/>
        </w:trPr>
        <w:tc>
          <w:tcPr>
            <w:tcW w:w="1704" w:type="dxa"/>
            <w:tcBorders>
              <w:top w:val="single" w:sz="4" w:space="0" w:color="auto"/>
              <w:bottom w:val="single" w:sz="4" w:space="0" w:color="auto"/>
              <w:right w:val="single" w:sz="4" w:space="0" w:color="auto"/>
            </w:tcBorders>
            <w:shd w:val="clear" w:color="auto" w:fill="E1F6FF"/>
          </w:tcPr>
          <w:p w:rsidR="00E516D7" w:rsidP="00E516D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August 12, 2025</w:t>
            </w:r>
          </w:p>
        </w:tc>
        <w:tc>
          <w:tcPr>
            <w:tcW w:w="1086" w:type="dxa"/>
            <w:tcBorders>
              <w:top w:val="single" w:sz="4" w:space="0" w:color="auto"/>
              <w:left w:val="single" w:sz="4" w:space="0" w:color="auto"/>
              <w:bottom w:val="single" w:sz="4" w:space="0" w:color="auto"/>
              <w:right w:val="single" w:sz="8" w:space="0" w:color="auto"/>
            </w:tcBorders>
          </w:tcPr>
          <w:p w:rsidR="00E516D7" w:rsidP="00E516D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30" w:type="dxa"/>
            <w:tcBorders>
              <w:top w:val="single" w:sz="4" w:space="0" w:color="auto"/>
              <w:left w:val="single" w:sz="8" w:space="0" w:color="auto"/>
              <w:bottom w:val="single" w:sz="4" w:space="0" w:color="auto"/>
              <w:right w:val="single" w:sz="8" w:space="0" w:color="auto"/>
            </w:tcBorders>
          </w:tcPr>
          <w:p w:rsidR="00E516D7" w:rsidP="00E516D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0" w:type="dxa"/>
            <w:tcBorders>
              <w:top w:val="single" w:sz="4" w:space="0" w:color="auto"/>
              <w:left w:val="single" w:sz="4" w:space="0" w:color="auto"/>
              <w:bottom w:val="single" w:sz="4" w:space="0" w:color="auto"/>
              <w:right w:val="single" w:sz="4" w:space="0" w:color="auto"/>
            </w:tcBorders>
          </w:tcPr>
          <w:p w:rsidR="00E516D7" w:rsidP="00E516D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8/4/2025</w:t>
            </w:r>
          </w:p>
        </w:tc>
        <w:tc>
          <w:tcPr>
            <w:tcW w:w="1525" w:type="dxa"/>
            <w:tcBorders>
              <w:top w:val="single" w:sz="4" w:space="0" w:color="auto"/>
              <w:left w:val="single" w:sz="4" w:space="0" w:color="auto"/>
              <w:bottom w:val="single" w:sz="4" w:space="0" w:color="auto"/>
              <w:right w:val="single" w:sz="4" w:space="0" w:color="auto"/>
            </w:tcBorders>
          </w:tcPr>
          <w:p w:rsidR="00E516D7" w:rsidP="00E516D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8/7/2025</w:t>
            </w:r>
          </w:p>
        </w:tc>
      </w:tr>
      <w:tr w:rsidTr="00E516D7">
        <w:tblPrEx>
          <w:tblW w:w="0" w:type="auto"/>
          <w:tblLook w:val="04A0"/>
        </w:tblPrEx>
        <w:trPr>
          <w:trHeight w:val="331"/>
        </w:trPr>
        <w:tc>
          <w:tcPr>
            <w:tcW w:w="1704" w:type="dxa"/>
            <w:tcBorders>
              <w:top w:val="single" w:sz="4" w:space="0" w:color="auto"/>
              <w:bottom w:val="single" w:sz="4" w:space="0" w:color="auto"/>
              <w:right w:val="single" w:sz="4" w:space="0" w:color="auto"/>
            </w:tcBorders>
            <w:shd w:val="clear" w:color="auto" w:fill="E1F6FF"/>
          </w:tcPr>
          <w:p w:rsidR="00E516D7" w:rsidP="00E516D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September 16,  2025</w:t>
            </w:r>
          </w:p>
        </w:tc>
        <w:tc>
          <w:tcPr>
            <w:tcW w:w="1086" w:type="dxa"/>
            <w:tcBorders>
              <w:top w:val="single" w:sz="4" w:space="0" w:color="auto"/>
              <w:left w:val="single" w:sz="4" w:space="0" w:color="auto"/>
              <w:bottom w:val="single" w:sz="4" w:space="0" w:color="auto"/>
              <w:right w:val="single" w:sz="8" w:space="0" w:color="auto"/>
            </w:tcBorders>
          </w:tcPr>
          <w:p w:rsidR="00E516D7" w:rsidP="00E516D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30" w:type="dxa"/>
            <w:tcBorders>
              <w:top w:val="single" w:sz="4" w:space="0" w:color="auto"/>
              <w:left w:val="single" w:sz="8" w:space="0" w:color="auto"/>
              <w:bottom w:val="single" w:sz="4" w:space="0" w:color="auto"/>
              <w:right w:val="single" w:sz="8" w:space="0" w:color="auto"/>
            </w:tcBorders>
          </w:tcPr>
          <w:p w:rsidR="00E516D7" w:rsidP="00E516D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0" w:type="dxa"/>
            <w:tcBorders>
              <w:top w:val="single" w:sz="4" w:space="0" w:color="auto"/>
              <w:left w:val="single" w:sz="4" w:space="0" w:color="auto"/>
              <w:bottom w:val="single" w:sz="4" w:space="0" w:color="auto"/>
              <w:right w:val="single" w:sz="4" w:space="0" w:color="auto"/>
            </w:tcBorders>
          </w:tcPr>
          <w:p w:rsidR="00E516D7" w:rsidP="00E516D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9/8/2025</w:t>
            </w:r>
          </w:p>
        </w:tc>
        <w:tc>
          <w:tcPr>
            <w:tcW w:w="1525" w:type="dxa"/>
            <w:tcBorders>
              <w:top w:val="single" w:sz="4" w:space="0" w:color="auto"/>
              <w:left w:val="single" w:sz="4" w:space="0" w:color="auto"/>
              <w:bottom w:val="single" w:sz="4" w:space="0" w:color="auto"/>
              <w:right w:val="single" w:sz="4" w:space="0" w:color="auto"/>
            </w:tcBorders>
          </w:tcPr>
          <w:p w:rsidR="00E516D7" w:rsidP="00E516D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9/11/2025</w:t>
            </w:r>
          </w:p>
        </w:tc>
      </w:tr>
      <w:tr w:rsidTr="00E516D7">
        <w:tblPrEx>
          <w:tblW w:w="0" w:type="auto"/>
          <w:tblLook w:val="04A0"/>
        </w:tblPrEx>
        <w:trPr>
          <w:trHeight w:val="331"/>
        </w:trPr>
        <w:tc>
          <w:tcPr>
            <w:tcW w:w="1704" w:type="dxa"/>
            <w:tcBorders>
              <w:top w:val="single" w:sz="4" w:space="0" w:color="auto"/>
              <w:bottom w:val="single" w:sz="4" w:space="0" w:color="auto"/>
              <w:right w:val="single" w:sz="4" w:space="0" w:color="auto"/>
            </w:tcBorders>
            <w:shd w:val="clear" w:color="auto" w:fill="E1F6FF"/>
          </w:tcPr>
          <w:p w:rsidR="00E516D7" w:rsidRPr="00BB6921" w:rsidP="00A03309">
            <w:pPr>
              <w:pStyle w:val="DisclaimerHeading"/>
              <w:keepLines/>
              <w:spacing w:before="40" w:after="40" w:line="220" w:lineRule="exact"/>
              <w:rPr>
                <w:b w:val="0"/>
                <w:i w:val="0"/>
                <w:color w:val="auto"/>
                <w:sz w:val="18"/>
                <w:szCs w:val="18"/>
              </w:rPr>
            </w:pPr>
            <w:r>
              <w:rPr>
                <w:b w:val="0"/>
                <w:i w:val="0"/>
                <w:color w:val="auto"/>
                <w:sz w:val="18"/>
                <w:szCs w:val="18"/>
              </w:rPr>
              <w:t>October 14, 2025</w:t>
            </w:r>
          </w:p>
        </w:tc>
        <w:tc>
          <w:tcPr>
            <w:tcW w:w="1086" w:type="dxa"/>
            <w:tcBorders>
              <w:top w:val="single" w:sz="4" w:space="0" w:color="auto"/>
              <w:left w:val="single" w:sz="4" w:space="0" w:color="auto"/>
              <w:bottom w:val="single" w:sz="4" w:space="0" w:color="auto"/>
              <w:right w:val="single" w:sz="4" w:space="0" w:color="auto"/>
            </w:tcBorders>
          </w:tcPr>
          <w:p w:rsidR="00E516D7" w:rsidRPr="00C10A93" w:rsidP="00A03309">
            <w:pPr>
              <w:pStyle w:val="DisclaimerHeading"/>
              <w:keepLines/>
              <w:spacing w:before="40" w:after="40" w:line="220" w:lineRule="exact"/>
              <w:rPr>
                <w:b w:val="0"/>
                <w:color w:val="auto"/>
                <w:sz w:val="18"/>
                <w:szCs w:val="18"/>
              </w:rPr>
            </w:pPr>
            <w:r>
              <w:rPr>
                <w:b w:val="0"/>
                <w:color w:val="auto"/>
                <w:sz w:val="18"/>
                <w:szCs w:val="18"/>
              </w:rPr>
              <w:t>9:00 a.m.</w:t>
            </w:r>
          </w:p>
        </w:tc>
        <w:tc>
          <w:tcPr>
            <w:tcW w:w="3230" w:type="dxa"/>
            <w:tcBorders>
              <w:top w:val="single" w:sz="4" w:space="0" w:color="auto"/>
              <w:left w:val="single" w:sz="4" w:space="0" w:color="auto"/>
              <w:bottom w:val="single" w:sz="4" w:space="0" w:color="auto"/>
              <w:right w:val="single" w:sz="4" w:space="0" w:color="auto"/>
            </w:tcBorders>
          </w:tcPr>
          <w:p w:rsidR="00E516D7" w:rsidRPr="00C10A93" w:rsidP="00A03309">
            <w:pPr>
              <w:pStyle w:val="DisclaimerHeading"/>
              <w:keepLines/>
              <w:spacing w:before="40" w:after="40" w:line="220" w:lineRule="exact"/>
              <w:rPr>
                <w:b w:val="0"/>
                <w:color w:val="auto"/>
                <w:sz w:val="18"/>
                <w:szCs w:val="18"/>
              </w:rPr>
            </w:pPr>
            <w:r>
              <w:rPr>
                <w:b w:val="0"/>
                <w:color w:val="auto"/>
                <w:sz w:val="18"/>
                <w:szCs w:val="18"/>
              </w:rPr>
              <w:t>WebEx</w:t>
            </w:r>
          </w:p>
        </w:tc>
        <w:tc>
          <w:tcPr>
            <w:tcW w:w="1810" w:type="dxa"/>
            <w:tcBorders>
              <w:top w:val="single" w:sz="4" w:space="0" w:color="auto"/>
              <w:left w:val="single" w:sz="4" w:space="0" w:color="auto"/>
              <w:bottom w:val="single" w:sz="4" w:space="0" w:color="auto"/>
              <w:right w:val="single" w:sz="4" w:space="0" w:color="auto"/>
            </w:tcBorders>
          </w:tcPr>
          <w:p w:rsidR="00E516D7" w:rsidRPr="00C10A93" w:rsidP="00A03309">
            <w:pPr>
              <w:pStyle w:val="DisclaimerHeading"/>
              <w:keepLines/>
              <w:spacing w:before="40" w:after="40" w:line="220" w:lineRule="exact"/>
              <w:jc w:val="center"/>
              <w:rPr>
                <w:b w:val="0"/>
                <w:color w:val="auto"/>
                <w:sz w:val="18"/>
                <w:szCs w:val="18"/>
              </w:rPr>
            </w:pPr>
            <w:r>
              <w:rPr>
                <w:b w:val="0"/>
                <w:color w:val="auto"/>
                <w:sz w:val="18"/>
                <w:szCs w:val="18"/>
              </w:rPr>
              <w:t>10/6/2025</w:t>
            </w:r>
          </w:p>
        </w:tc>
        <w:tc>
          <w:tcPr>
            <w:tcW w:w="1525" w:type="dxa"/>
            <w:tcBorders>
              <w:top w:val="single" w:sz="4" w:space="0" w:color="auto"/>
              <w:left w:val="single" w:sz="4" w:space="0" w:color="auto"/>
              <w:bottom w:val="single" w:sz="4" w:space="0" w:color="auto"/>
              <w:right w:val="single" w:sz="4" w:space="0" w:color="auto"/>
            </w:tcBorders>
          </w:tcPr>
          <w:p w:rsidR="00E516D7" w:rsidRPr="00C10A93" w:rsidP="00A03309">
            <w:pPr>
              <w:pStyle w:val="DisclaimerHeading"/>
              <w:keepLines/>
              <w:spacing w:before="40" w:after="40" w:line="220" w:lineRule="exact"/>
              <w:jc w:val="center"/>
              <w:rPr>
                <w:b w:val="0"/>
                <w:color w:val="auto"/>
                <w:sz w:val="18"/>
                <w:szCs w:val="18"/>
              </w:rPr>
            </w:pPr>
            <w:r>
              <w:rPr>
                <w:b w:val="0"/>
                <w:color w:val="auto"/>
                <w:sz w:val="18"/>
                <w:szCs w:val="18"/>
              </w:rPr>
              <w:t>10/9/2025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FF5170">
      <w:pPr>
        <w:sectPr w:rsidSect="00A86205">
          <w:headerReference w:type="default" r:id="rId5"/>
          <w:footerReference w:type="even" r:id="rId6"/>
          <w:footerReference w:type="default" r:id="rId7"/>
          <w:pgSz w:w="12240" w:h="15840"/>
          <w:pgMar w:top="2070" w:right="1440" w:bottom="1260" w:left="1440" w:header="720" w:footer="669" w:gutter="0"/>
          <w:cols w:space="720" w:equalWidth="0">
            <w:col w:w="9360"/>
          </w:cols>
        </w:sectPr>
      </w:pPr>
    </w:p>
    <w:p w:rsidR="00B62597" w:rsidP="00FF5170">
      <w:pPr>
        <w:pStyle w:val="Author"/>
        <w:keepNext/>
        <w:keepLines/>
      </w:pPr>
      <w:r>
        <w:t xml:space="preserve">Author: </w:t>
      </w:r>
      <w:r w:rsidR="00E516D7">
        <w:t>Marc Farinas</w:t>
      </w:r>
    </w:p>
    <w:p w:rsidR="00A317A9" w:rsidRPr="00B62597" w:rsidP="00FF5170">
      <w:pPr>
        <w:pStyle w:val="Author"/>
        <w:keepNext/>
        <w:keepLines/>
      </w:pPr>
    </w:p>
    <w:p w:rsidR="00B62597" w:rsidRPr="00B62597" w:rsidP="00FF5170">
      <w:pPr>
        <w:pStyle w:val="DisclaimerHeading"/>
        <w:keepNext/>
        <w:keepLines/>
      </w:pPr>
      <w:r>
        <w:t>Anti</w:t>
      </w:r>
      <w:r w:rsidRPr="00B62597">
        <w:t>trust:</w:t>
      </w:r>
    </w:p>
    <w:p w:rsidR="00095E8F" w:rsidP="00095E8F">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8" w:history="1">
        <w:r w:rsidRPr="0080148F">
          <w:rPr>
            <w:rStyle w:val="Hyperlink"/>
          </w:rPr>
          <w:t>PJM’s Antitrust Guidelines for Stakeholder Meetings</w:t>
        </w:r>
      </w:hyperlink>
      <w:r w:rsidRPr="00FF5170">
        <w:t xml:space="preserve">, </w:t>
      </w:r>
      <w:r>
        <w:t xml:space="preserve">which are posted on PJM’s </w:t>
      </w:r>
      <w:hyperlink r:id="rId9" w:history="1">
        <w:r w:rsidRPr="00095E8F">
          <w:rPr>
            <w:rStyle w:val="Hyperlink"/>
          </w:rPr>
          <w:t>Committees and Groups page</w:t>
        </w:r>
      </w:hyperlink>
      <w:r>
        <w:t>.</w:t>
      </w:r>
    </w:p>
    <w:p w:rsidR="00095E8F" w:rsidP="00FF5170">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pPr>
              <w:pStyle w:val="DisclaimerHeading"/>
              <w:spacing w:before="60"/>
            </w:pPr>
            <w:r w:rsidRPr="00B62597">
              <w:t>Code of Conduct:</w:t>
            </w:r>
          </w:p>
          <w:p w:rsidR="00FF5170" w:rsidRPr="00B62597" w:rsidP="00FF5170">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FF5170" w:rsidRPr="00B62597" w:rsidP="00FF5170">
            <w:pPr>
              <w:pStyle w:val="DisclaimerHeading"/>
              <w:spacing w:before="240"/>
            </w:pPr>
            <w:r w:rsidRPr="00B62597">
              <w:t xml:space="preserve">Public Meetings/Media Participation: </w:t>
            </w:r>
          </w:p>
          <w:p w:rsidR="00FF5170" w:rsidP="009360CC">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pPr>
              <w:pStyle w:val="DisclaimerHeading"/>
              <w:spacing w:before="60"/>
              <w:ind w:left="85"/>
            </w:pPr>
            <w:r>
              <w:t xml:space="preserve">Participant Identification in </w:t>
            </w:r>
            <w:r>
              <w:t>Webex</w:t>
            </w:r>
            <w:r>
              <w:t>:</w:t>
            </w:r>
          </w:p>
          <w:p w:rsidR="00FF5170" w:rsidP="00FF5170">
            <w:pPr>
              <w:pStyle w:val="DisclaimerBodyCopy"/>
              <w:ind w:left="85"/>
            </w:pPr>
            <w:r>
              <w:t xml:space="preserve">When logging into the </w:t>
            </w:r>
            <w:r>
              <w:t>Webex</w:t>
            </w:r>
            <w:r>
              <w:t xml:space="preserve"> desktop client, please enter your real</w:t>
            </w:r>
            <w:r w:rsidR="009360CC">
              <w:t> </w:t>
            </w:r>
            <w:r>
              <w:t>first and last name as well as a valid email address. Be sure to select the “call me” option.</w:t>
            </w:r>
          </w:p>
          <w:p w:rsidR="00FF5170" w:rsidP="00FF5170">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FF5170" w:rsidRPr="00D827A6" w:rsidP="00FF5170">
            <w:pPr>
              <w:pStyle w:val="DisclaimerHeading"/>
              <w:spacing w:before="240"/>
              <w:ind w:left="85"/>
            </w:pPr>
            <w:r w:rsidRPr="00D827A6">
              <w:t xml:space="preserve">Participant Use of </w:t>
            </w:r>
            <w:r w:rsidRPr="00D827A6">
              <w:t>Webex</w:t>
            </w:r>
            <w:r w:rsidRPr="00D827A6">
              <w:t xml:space="preserve"> Chat:</w:t>
            </w:r>
          </w:p>
          <w:p w:rsidR="00FF5170" w:rsidP="00FF5170">
            <w:pPr>
              <w:pStyle w:val="DisclaimerBodyCopy"/>
              <w:ind w:left="85"/>
            </w:pPr>
            <w:r>
              <w:t xml:space="preserve">The use of the </w:t>
            </w:r>
            <w:r>
              <w:t>Webex</w:t>
            </w:r>
            <w:r>
              <w:t xml:space="preserve"> chat feature during meetings shall be primarily</w:t>
            </w:r>
            <w:r>
              <w:t>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246ED8" w:rsidP="00246ED8">
      <w:pPr>
        <w:pStyle w:val="DisclaimerBodyCopy"/>
      </w:pPr>
    </w:p>
    <w:p w:rsidR="00027F49" w:rsidP="00027F49">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pPr>
        <w:pStyle w:val="DisclaimerHeading"/>
      </w:pPr>
    </w:p>
    <w:p w:rsidR="0057441E" w:rsidRPr="009C15C4" w:rsidP="00246ED8">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E7E4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1"/>
  </w:num>
  <w:num w:numId="14">
    <w:abstractNumId w:val="1"/>
  </w:num>
  <w:num w:numId="15">
    <w:abstractNumId w:val="8"/>
  </w:num>
  <w:num w:numId="16">
    <w:abstractNumId w:val="6"/>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47"/>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D7"/>
    <w:rsid w:val="00010057"/>
    <w:rsid w:val="0001037C"/>
    <w:rsid w:val="000232DF"/>
    <w:rsid w:val="00027F49"/>
    <w:rsid w:val="000333FF"/>
    <w:rsid w:val="000538D7"/>
    <w:rsid w:val="0006798D"/>
    <w:rsid w:val="00092135"/>
    <w:rsid w:val="00092B99"/>
    <w:rsid w:val="00095E8F"/>
    <w:rsid w:val="00096230"/>
    <w:rsid w:val="00117AF9"/>
    <w:rsid w:val="00121F58"/>
    <w:rsid w:val="001678E8"/>
    <w:rsid w:val="00170E02"/>
    <w:rsid w:val="001B2242"/>
    <w:rsid w:val="001C0CC0"/>
    <w:rsid w:val="001D3B68"/>
    <w:rsid w:val="00200A1B"/>
    <w:rsid w:val="002113BD"/>
    <w:rsid w:val="00246ED8"/>
    <w:rsid w:val="0025139E"/>
    <w:rsid w:val="002B2CB6"/>
    <w:rsid w:val="002B2F98"/>
    <w:rsid w:val="002C6057"/>
    <w:rsid w:val="002F6131"/>
    <w:rsid w:val="00305238"/>
    <w:rsid w:val="003251CE"/>
    <w:rsid w:val="00337321"/>
    <w:rsid w:val="00394850"/>
    <w:rsid w:val="003B55E1"/>
    <w:rsid w:val="003C17E2"/>
    <w:rsid w:val="003C3320"/>
    <w:rsid w:val="003D7E5C"/>
    <w:rsid w:val="003E6DF4"/>
    <w:rsid w:val="003E7A73"/>
    <w:rsid w:val="003F046E"/>
    <w:rsid w:val="0046043F"/>
    <w:rsid w:val="00491490"/>
    <w:rsid w:val="00494494"/>
    <w:rsid w:val="004969FA"/>
    <w:rsid w:val="004F3D57"/>
    <w:rsid w:val="00527104"/>
    <w:rsid w:val="00564DEE"/>
    <w:rsid w:val="0057441E"/>
    <w:rsid w:val="005A5D0D"/>
    <w:rsid w:val="005B3E29"/>
    <w:rsid w:val="005D6D05"/>
    <w:rsid w:val="005D7824"/>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0148F"/>
    <w:rsid w:val="00813B57"/>
    <w:rsid w:val="00837B12"/>
    <w:rsid w:val="00841282"/>
    <w:rsid w:val="008552A3"/>
    <w:rsid w:val="00856DF8"/>
    <w:rsid w:val="00882652"/>
    <w:rsid w:val="00911156"/>
    <w:rsid w:val="00914902"/>
    <w:rsid w:val="00917386"/>
    <w:rsid w:val="009360CC"/>
    <w:rsid w:val="0097702E"/>
    <w:rsid w:val="00991528"/>
    <w:rsid w:val="009A3EA2"/>
    <w:rsid w:val="009A5430"/>
    <w:rsid w:val="009B2B7E"/>
    <w:rsid w:val="009C15C4"/>
    <w:rsid w:val="009C7250"/>
    <w:rsid w:val="009D7613"/>
    <w:rsid w:val="009F53F9"/>
    <w:rsid w:val="00A03309"/>
    <w:rsid w:val="00A05391"/>
    <w:rsid w:val="00A317A9"/>
    <w:rsid w:val="00A36FEA"/>
    <w:rsid w:val="00A41149"/>
    <w:rsid w:val="00A56D57"/>
    <w:rsid w:val="00A75ADE"/>
    <w:rsid w:val="00A86205"/>
    <w:rsid w:val="00A931C3"/>
    <w:rsid w:val="00AC2247"/>
    <w:rsid w:val="00B16D95"/>
    <w:rsid w:val="00B20316"/>
    <w:rsid w:val="00B34E3C"/>
    <w:rsid w:val="00B42FAE"/>
    <w:rsid w:val="00B62597"/>
    <w:rsid w:val="00BA6146"/>
    <w:rsid w:val="00BB531B"/>
    <w:rsid w:val="00BB6921"/>
    <w:rsid w:val="00BE7E41"/>
    <w:rsid w:val="00BF331B"/>
    <w:rsid w:val="00C10A93"/>
    <w:rsid w:val="00C439EC"/>
    <w:rsid w:val="00C5307B"/>
    <w:rsid w:val="00C72168"/>
    <w:rsid w:val="00C755FC"/>
    <w:rsid w:val="00C757F4"/>
    <w:rsid w:val="00C75A9D"/>
    <w:rsid w:val="00CA49B9"/>
    <w:rsid w:val="00CB19DE"/>
    <w:rsid w:val="00CB475B"/>
    <w:rsid w:val="00CC1B47"/>
    <w:rsid w:val="00CE451E"/>
    <w:rsid w:val="00D06EC8"/>
    <w:rsid w:val="00D136EA"/>
    <w:rsid w:val="00D251ED"/>
    <w:rsid w:val="00D827A6"/>
    <w:rsid w:val="00D831E4"/>
    <w:rsid w:val="00D95949"/>
    <w:rsid w:val="00DA23DE"/>
    <w:rsid w:val="00DB29E9"/>
    <w:rsid w:val="00DE34CF"/>
    <w:rsid w:val="00DE77B9"/>
    <w:rsid w:val="00DF1112"/>
    <w:rsid w:val="00E1605D"/>
    <w:rsid w:val="00E32B6B"/>
    <w:rsid w:val="00E516D7"/>
    <w:rsid w:val="00E5387A"/>
    <w:rsid w:val="00E55E84"/>
    <w:rsid w:val="00E946F8"/>
    <w:rsid w:val="00EB68B0"/>
    <w:rsid w:val="00F4190F"/>
    <w:rsid w:val="00F5077C"/>
    <w:rsid w:val="00F60D59"/>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2F52DD"/>
  <w15:docId w15:val="{5206FC26-D1C2-4A48-87F7-57960EE6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image" Target="media/image3.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committees/oc"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s://www.pjm.com/-/media/DotCom/committees-groups/pjm-antitrust-guidelinesw-for-the-stakeholder-meetings.pdf" TargetMode="External" /><Relationship Id="rId9" Type="http://schemas.openxmlformats.org/officeDocument/2006/relationships/hyperlink" Target="https://www.pjm.com/committees-and-group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rinm\Downloads\Agenda%20(Non%20Operator%20Assisted%20Call)%20(1).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