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14:paraId="1E6F7652" w14:textId="77777777">
      <w:pPr>
        <w:spacing w:after="0" w:line="240" w:lineRule="auto"/>
        <w:rPr>
          <w:rFonts w:ascii="Arial Narrow" w:eastAsia="Times New Roman" w:hAnsi="Arial Narrow" w:cs="Times New Roman"/>
          <w:sz w:val="24"/>
          <w:szCs w:val="24"/>
        </w:rPr>
      </w:pPr>
    </w:p>
    <w:p w:rsidR="00AE4DCC" w:rsidRPr="00B62597" w:rsidP="00AE4DCC" w14:paraId="351AE29C" w14:textId="77777777">
      <w:pPr>
        <w:pStyle w:val="MeetingDetails"/>
      </w:pPr>
      <w:r>
        <w:t>Load Analysis Subcommittee</w:t>
      </w:r>
    </w:p>
    <w:p w:rsidR="00AE4DCC" w:rsidRPr="00317419" w:rsidP="00AE4DCC" w14:paraId="637444B3"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14:paraId="7E7C728C" w14:textId="7BA873F0">
      <w:pPr>
        <w:pStyle w:val="MeetingDetails"/>
      </w:pPr>
      <w:r>
        <w:t>June 10, 2025</w:t>
      </w:r>
    </w:p>
    <w:p w:rsidR="00AE4DCC" w:rsidRPr="00B62597" w:rsidP="00AE4DCC" w14:paraId="074357CE" w14:textId="1387BD1C">
      <w:pPr>
        <w:pStyle w:val="MeetingDetails"/>
        <w:rPr>
          <w:sz w:val="28"/>
          <w:u w:val="single"/>
        </w:rPr>
      </w:pPr>
      <w:r>
        <w:t>1</w:t>
      </w:r>
      <w:r w:rsidR="0083096F">
        <w:t xml:space="preserve">:00 a.m. – </w:t>
      </w:r>
      <w:r>
        <w:t>4</w:t>
      </w:r>
      <w:r w:rsidR="0083096F">
        <w:t>:00 p.m. EPT</w:t>
      </w:r>
    </w:p>
    <w:p w:rsidR="00AE4DCC" w:rsidRPr="00B62597" w:rsidP="00AE4DCC" w14:paraId="3D8C1F86" w14:textId="77777777">
      <w:pPr>
        <w:spacing w:after="0" w:line="240" w:lineRule="auto"/>
        <w:rPr>
          <w:rFonts w:ascii="Arial Narrow" w:eastAsia="Times New Roman" w:hAnsi="Arial Narrow" w:cs="Times New Roman"/>
          <w:sz w:val="24"/>
          <w:szCs w:val="20"/>
        </w:rPr>
      </w:pPr>
    </w:p>
    <w:p w:rsidR="00AE4DCC" w:rsidRPr="005B25BC" w:rsidP="00AE4DCC" w14:paraId="43A23F88" w14:textId="0E61370D">
      <w:pPr>
        <w:pStyle w:val="PrimaryHeading"/>
        <w:rPr>
          <w:caps/>
          <w:sz w:val="24"/>
          <w:szCs w:val="24"/>
        </w:rPr>
      </w:pPr>
      <w:bookmarkStart w:id="0" w:name="OLE_LINK5"/>
      <w:bookmarkStart w:id="1" w:name="OLE_LINK3"/>
      <w:r w:rsidRPr="005B25BC">
        <w:rPr>
          <w:sz w:val="24"/>
          <w:szCs w:val="24"/>
        </w:rPr>
        <w:t>Administration (</w:t>
      </w:r>
      <w:r w:rsidR="00E95E10">
        <w:rPr>
          <w:sz w:val="24"/>
          <w:szCs w:val="24"/>
        </w:rPr>
        <w:t>1</w:t>
      </w:r>
      <w:r w:rsidRPr="005B25BC">
        <w:rPr>
          <w:sz w:val="24"/>
          <w:szCs w:val="24"/>
        </w:rPr>
        <w:t>:00-</w:t>
      </w:r>
      <w:r w:rsidR="00E95E10">
        <w:rPr>
          <w:sz w:val="24"/>
          <w:szCs w:val="24"/>
        </w:rPr>
        <w:t>1</w:t>
      </w:r>
      <w:r w:rsidRPr="005B25BC">
        <w:rPr>
          <w:sz w:val="24"/>
          <w:szCs w:val="24"/>
        </w:rPr>
        <w:t>:10)</w:t>
      </w:r>
    </w:p>
    <w:bookmarkEnd w:id="0"/>
    <w:bookmarkEnd w:id="1"/>
    <w:p w:rsidR="00AE4DCC" w:rsidRPr="004B252B" w:rsidP="00AE4DCC" w14:paraId="426C14CE" w14:textId="77777777">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14:paraId="4766F8DA" w14:textId="554CF668">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Pr="00E95E10" w:rsidR="00E95E10">
        <w:rPr>
          <w:rFonts w:ascii="Arial Narrow" w:eastAsia="Times New Roman" w:hAnsi="Arial Narrow" w:cs="Times New Roman"/>
          <w:sz w:val="24"/>
        </w:rPr>
        <w:t xml:space="preserve">December 9, 2024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5B25BC" w:rsidP="00AE4DCC" w14:paraId="5465B11D" w14:textId="3E854E5F">
      <w:pPr>
        <w:pStyle w:val="PrimaryHeading"/>
        <w:rPr>
          <w:sz w:val="24"/>
          <w:szCs w:val="24"/>
        </w:rPr>
      </w:pPr>
      <w:r>
        <w:rPr>
          <w:sz w:val="24"/>
          <w:szCs w:val="24"/>
        </w:rPr>
        <w:t>Meeting Materials</w:t>
      </w:r>
      <w:r w:rsidRPr="005B25BC">
        <w:rPr>
          <w:sz w:val="24"/>
          <w:szCs w:val="24"/>
        </w:rPr>
        <w:t xml:space="preserve"> (</w:t>
      </w:r>
      <w:r w:rsidR="00E95E10">
        <w:rPr>
          <w:sz w:val="24"/>
          <w:szCs w:val="24"/>
        </w:rPr>
        <w:t>1</w:t>
      </w:r>
      <w:r w:rsidRPr="005B25BC">
        <w:rPr>
          <w:sz w:val="24"/>
          <w:szCs w:val="24"/>
        </w:rPr>
        <w:t>:10</w:t>
      </w:r>
      <w:r>
        <w:rPr>
          <w:sz w:val="24"/>
          <w:szCs w:val="24"/>
        </w:rPr>
        <w:t xml:space="preserve"> </w:t>
      </w:r>
      <w:r w:rsidRPr="005B25BC">
        <w:rPr>
          <w:sz w:val="24"/>
          <w:szCs w:val="24"/>
        </w:rPr>
        <w:t>-</w:t>
      </w:r>
      <w:r>
        <w:rPr>
          <w:sz w:val="24"/>
          <w:szCs w:val="24"/>
        </w:rPr>
        <w:t xml:space="preserve"> </w:t>
      </w:r>
      <w:r w:rsidR="00E95E10">
        <w:rPr>
          <w:sz w:val="24"/>
          <w:szCs w:val="24"/>
        </w:rPr>
        <w:t>4</w:t>
      </w:r>
      <w:r w:rsidRPr="005B25BC">
        <w:rPr>
          <w:sz w:val="24"/>
          <w:szCs w:val="24"/>
        </w:rPr>
        <w:t>:00)</w:t>
      </w:r>
    </w:p>
    <w:p w:rsidR="00AE4DCC" w:rsidP="00AE4DCC" w14:paraId="5C489148" w14:textId="77777777">
      <w:pPr>
        <w:pStyle w:val="ListSubhead1"/>
        <w:numPr>
          <w:ilvl w:val="0"/>
          <w:numId w:val="0"/>
        </w:numPr>
        <w:spacing w:after="0"/>
        <w:ind w:left="360"/>
        <w:rPr>
          <w:b w:val="0"/>
        </w:rPr>
      </w:pPr>
    </w:p>
    <w:p w:rsidR="00E95E10" w:rsidRPr="00E95E10" w:rsidP="00E95E10" w14:paraId="2A9DDE84" w14:textId="678423E7">
      <w:pPr>
        <w:pStyle w:val="ListParagraph"/>
        <w:numPr>
          <w:ilvl w:val="0"/>
          <w:numId w:val="13"/>
        </w:numPr>
        <w:rPr>
          <w:rFonts w:ascii="Arial Narrow" w:eastAsia="Times New Roman" w:hAnsi="Arial Narrow" w:cs="Times New Roman"/>
          <w:sz w:val="24"/>
          <w:u w:val="single"/>
        </w:rPr>
      </w:pPr>
      <w:r w:rsidRPr="00E95E10">
        <w:rPr>
          <w:rFonts w:ascii="Arial Narrow" w:eastAsia="Times New Roman" w:hAnsi="Arial Narrow" w:cs="Times New Roman"/>
          <w:sz w:val="24"/>
          <w:u w:val="single"/>
        </w:rPr>
        <w:t>Large Load Adjustment Process: 2026 PJM Load Forecast</w:t>
      </w:r>
    </w:p>
    <w:p w:rsidR="00E95E10" w:rsidP="00E95E10" w14:paraId="10AACAC1" w14:textId="0B68B0F1">
      <w:pPr>
        <w:pStyle w:val="ListParagraph"/>
        <w:tabs>
          <w:tab w:val="left" w:pos="0"/>
        </w:tabs>
        <w:spacing w:after="100"/>
        <w:ind w:left="360"/>
        <w:rPr>
          <w:rFonts w:ascii="Arial Narrow" w:hAnsi="Arial Narrow"/>
          <w:sz w:val="24"/>
        </w:rPr>
      </w:pPr>
      <w:r w:rsidRPr="00E95E10">
        <w:rPr>
          <w:rFonts w:ascii="Arial Narrow" w:hAnsi="Arial Narrow"/>
          <w:sz w:val="24"/>
        </w:rPr>
        <w:t>Molly Mooney, PJM, will present potential improvements to the large load adjustment process for the 2026 load forecast.</w:t>
      </w:r>
    </w:p>
    <w:p w:rsidR="00333D68" w:rsidP="00E95E10" w14:paraId="4A58CC6A" w14:textId="77777777">
      <w:pPr>
        <w:pStyle w:val="ListParagraph"/>
        <w:tabs>
          <w:tab w:val="left" w:pos="0"/>
        </w:tabs>
        <w:spacing w:after="100"/>
        <w:ind w:left="360"/>
        <w:rPr>
          <w:rFonts w:ascii="Arial Narrow" w:hAnsi="Arial Narrow"/>
          <w:sz w:val="24"/>
        </w:rPr>
      </w:pPr>
    </w:p>
    <w:p w:rsidR="00333D68" w:rsidRPr="00E95E10" w:rsidP="00333D68" w14:paraId="376A5B96" w14:textId="468BC9B9">
      <w:pPr>
        <w:pStyle w:val="ListParagraph"/>
        <w:numPr>
          <w:ilvl w:val="0"/>
          <w:numId w:val="13"/>
        </w:numPr>
        <w:rPr>
          <w:rFonts w:ascii="Arial Narrow" w:eastAsia="Times New Roman" w:hAnsi="Arial Narrow" w:cs="Times New Roman"/>
          <w:sz w:val="24"/>
          <w:u w:val="single"/>
        </w:rPr>
      </w:pPr>
      <w:r w:rsidRPr="00E95E10">
        <w:rPr>
          <w:rFonts w:ascii="Arial Narrow" w:eastAsia="Times New Roman" w:hAnsi="Arial Narrow" w:cs="Times New Roman"/>
          <w:sz w:val="24"/>
          <w:u w:val="single"/>
        </w:rPr>
        <w:t>2026 PJM Load Forecast</w:t>
      </w:r>
      <w:r>
        <w:rPr>
          <w:rFonts w:ascii="Arial Narrow" w:eastAsia="Times New Roman" w:hAnsi="Arial Narrow" w:cs="Times New Roman"/>
          <w:sz w:val="24"/>
          <w:u w:val="single"/>
        </w:rPr>
        <w:t xml:space="preserve"> Timeline</w:t>
      </w:r>
    </w:p>
    <w:p w:rsidR="00333D68" w:rsidP="00333D68" w14:paraId="0648691B" w14:textId="6FF4F977">
      <w:pPr>
        <w:pStyle w:val="ListParagraph"/>
        <w:tabs>
          <w:tab w:val="left" w:pos="0"/>
        </w:tabs>
        <w:spacing w:after="100"/>
        <w:ind w:left="360"/>
        <w:rPr>
          <w:rFonts w:ascii="Arial Narrow" w:hAnsi="Arial Narrow"/>
          <w:sz w:val="24"/>
        </w:rPr>
      </w:pPr>
      <w:r w:rsidRPr="00E95E10">
        <w:rPr>
          <w:rFonts w:ascii="Arial Narrow" w:hAnsi="Arial Narrow"/>
          <w:sz w:val="24"/>
        </w:rPr>
        <w:t>Molly Mooney, PJM, will present 2026 load forecast</w:t>
      </w:r>
      <w:r>
        <w:rPr>
          <w:rFonts w:ascii="Arial Narrow" w:hAnsi="Arial Narrow"/>
          <w:sz w:val="24"/>
        </w:rPr>
        <w:t xml:space="preserve"> assumptions review and timeline</w:t>
      </w:r>
      <w:bookmarkStart w:id="2" w:name="_GoBack"/>
      <w:bookmarkEnd w:id="2"/>
      <w:r w:rsidRPr="00E95E10">
        <w:rPr>
          <w:rFonts w:ascii="Arial Narrow" w:hAnsi="Arial Narrow"/>
          <w:sz w:val="24"/>
        </w:rPr>
        <w:t>.</w:t>
      </w:r>
    </w:p>
    <w:p w:rsidR="00333D68" w:rsidRPr="00E95E10" w:rsidP="00E95E10" w14:paraId="73C54BA9" w14:textId="10CD058E">
      <w:pPr>
        <w:pStyle w:val="ListParagraph"/>
        <w:tabs>
          <w:tab w:val="left" w:pos="0"/>
        </w:tabs>
        <w:spacing w:after="100"/>
        <w:ind w:left="360"/>
        <w:rPr>
          <w:rFonts w:ascii="Arial Narrow" w:hAnsi="Arial Narrow"/>
          <w:sz w:val="24"/>
        </w:rPr>
      </w:pPr>
    </w:p>
    <w:p w:rsidR="00AE4DCC" w:rsidRPr="0060141A" w:rsidP="00AE4DCC" w14:paraId="577998EF" w14:textId="77777777">
      <w:pPr>
        <w:pStyle w:val="SecondaryHeading-Numbered"/>
        <w:numPr>
          <w:ilvl w:val="0"/>
          <w:numId w:val="0"/>
        </w:numPr>
        <w:spacing w:after="0"/>
        <w:ind w:left="360"/>
        <w:rPr>
          <w:sz w:val="16"/>
          <w:szCs w:val="16"/>
        </w:rPr>
      </w:pPr>
    </w:p>
    <w:p w:rsidR="00AE4DCC" w:rsidRPr="0030164E" w:rsidP="00AE4DCC" w14:paraId="6EECFD43" w14:textId="77777777">
      <w:pPr>
        <w:pStyle w:val="PrimaryHeading"/>
        <w:rPr>
          <w:sz w:val="24"/>
          <w:szCs w:val="24"/>
        </w:rPr>
      </w:pPr>
      <w:r w:rsidRPr="0030164E">
        <w:rPr>
          <w:sz w:val="24"/>
          <w:szCs w:val="24"/>
        </w:rPr>
        <w:t xml:space="preserve">Informational </w:t>
      </w:r>
      <w:r>
        <w:rPr>
          <w:sz w:val="24"/>
          <w:szCs w:val="24"/>
        </w:rPr>
        <w:t>Update</w:t>
      </w:r>
    </w:p>
    <w:p w:rsidR="00AE4DCC" w:rsidP="00AE4DCC" w14:paraId="14BCD786" w14:textId="77777777">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14:paraId="27C5BC74" w14:textId="77777777" w:rsidTr="00646E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14:paraId="2BA4DD9D" w14:textId="77777777">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14:paraId="6ED690C5"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14:paraId="387CD35F"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AC4A42F" w14:textId="77777777" w:rsidTr="00646E3C">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14:paraId="67DB78EB" w14:textId="77777777">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14:paraId="69BAB3D9" w14:textId="77777777">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14:paraId="3A927BED" w14:textId="77777777">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14:paraId="20A902C0"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14:paraId="0EDB3673" w14:textId="77777777">
            <w:pPr>
              <w:pStyle w:val="DisclaimerHeading"/>
              <w:jc w:val="center"/>
              <w:rPr>
                <w:color w:val="FFFFFF" w:themeColor="background1"/>
                <w:sz w:val="19"/>
                <w:szCs w:val="19"/>
              </w:rPr>
            </w:pPr>
          </w:p>
        </w:tc>
      </w:tr>
      <w:tr w14:paraId="395C52DC" w14:textId="77777777" w:rsidTr="00646E3C">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AE4DCC" w:rsidP="0011422A" w14:paraId="34DB60B6" w14:textId="4DCB62EF">
            <w:pPr>
              <w:pStyle w:val="AttendeesList"/>
              <w:ind w:left="720" w:hanging="720"/>
              <w:jc w:val="center"/>
              <w:rPr>
                <w:sz w:val="22"/>
                <w:szCs w:val="22"/>
              </w:rPr>
            </w:pPr>
            <w:r>
              <w:rPr>
                <w:sz w:val="22"/>
                <w:szCs w:val="22"/>
              </w:rPr>
              <w:t>9/16/2025</w:t>
            </w:r>
          </w:p>
        </w:tc>
        <w:tc>
          <w:tcPr>
            <w:tcW w:w="1080" w:type="dxa"/>
            <w:gridSpan w:val="2"/>
            <w:tcBorders>
              <w:top w:val="single" w:sz="4" w:space="0" w:color="auto"/>
              <w:left w:val="single" w:sz="4" w:space="0" w:color="auto"/>
              <w:right w:val="single" w:sz="8" w:space="0" w:color="auto"/>
            </w:tcBorders>
            <w:vAlign w:val="center"/>
          </w:tcPr>
          <w:p w:rsidR="00AE4DCC" w:rsidRPr="00237312" w:rsidP="0011422A" w14:paraId="5F1A0473" w14:textId="46974498">
            <w:pPr>
              <w:pStyle w:val="AttendeesList"/>
              <w:rPr>
                <w:szCs w:val="18"/>
              </w:rPr>
            </w:pPr>
            <w:r>
              <w:rPr>
                <w:szCs w:val="18"/>
              </w:rPr>
              <w:t>9:00 - 4:00</w:t>
            </w:r>
          </w:p>
        </w:tc>
        <w:tc>
          <w:tcPr>
            <w:tcW w:w="3600" w:type="dxa"/>
            <w:tcBorders>
              <w:top w:val="single" w:sz="4" w:space="0" w:color="auto"/>
              <w:left w:val="single" w:sz="8" w:space="0" w:color="auto"/>
              <w:right w:val="single" w:sz="8" w:space="0" w:color="auto"/>
            </w:tcBorders>
            <w:vAlign w:val="center"/>
          </w:tcPr>
          <w:p w:rsidR="00AE4DCC" w:rsidRPr="00237312" w:rsidP="0011422A" w14:paraId="0429A3EC" w14:textId="33704611">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AE4DCC" w:rsidRPr="00237312" w:rsidP="0011422A" w14:paraId="4C8236AD" w14:textId="6A0D4A96">
            <w:pPr>
              <w:pStyle w:val="event-address"/>
              <w:jc w:val="center"/>
              <w:rPr>
                <w:rFonts w:ascii="Arial Narrow" w:hAnsi="Arial Narrow"/>
                <w:color w:val="222222"/>
                <w:sz w:val="22"/>
                <w:szCs w:val="22"/>
              </w:rPr>
            </w:pPr>
            <w:r>
              <w:rPr>
                <w:rFonts w:ascii="Arial Narrow" w:hAnsi="Arial Narrow"/>
                <w:color w:val="222222"/>
                <w:sz w:val="22"/>
                <w:szCs w:val="22"/>
              </w:rPr>
              <w:t>9/9/25</w:t>
            </w:r>
          </w:p>
        </w:tc>
        <w:tc>
          <w:tcPr>
            <w:tcW w:w="1529" w:type="dxa"/>
            <w:tcBorders>
              <w:top w:val="single" w:sz="4" w:space="0" w:color="auto"/>
              <w:left w:val="single" w:sz="4" w:space="0" w:color="auto"/>
              <w:right w:val="single" w:sz="4" w:space="0" w:color="auto"/>
            </w:tcBorders>
            <w:vAlign w:val="bottom"/>
          </w:tcPr>
          <w:p w:rsidR="00AE4DCC" w:rsidRPr="00237312" w:rsidP="0011422A" w14:paraId="3A786F8D" w14:textId="30B9DC24">
            <w:pPr>
              <w:pStyle w:val="event-address"/>
              <w:jc w:val="center"/>
              <w:rPr>
                <w:rFonts w:ascii="Arial Narrow" w:hAnsi="Arial Narrow"/>
                <w:color w:val="222222"/>
                <w:sz w:val="22"/>
                <w:szCs w:val="22"/>
              </w:rPr>
            </w:pPr>
            <w:r>
              <w:rPr>
                <w:rFonts w:ascii="Arial Narrow" w:hAnsi="Arial Narrow"/>
                <w:color w:val="222222"/>
                <w:sz w:val="22"/>
                <w:szCs w:val="22"/>
              </w:rPr>
              <w:t>9/11/25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14:paraId="58C69190" w14:textId="77777777"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14:paraId="25E38536" w14:textId="77777777"/>
          <w:p w:rsidR="00AE4DCC" w:rsidP="0011422A" w14:paraId="247A2071" w14:textId="77777777"/>
          <w:p w:rsidR="00AE4DCC" w:rsidRPr="00B62597" w:rsidP="0011422A" w14:paraId="7C3B4EE3" w14:textId="77777777"/>
        </w:tc>
        <w:tc>
          <w:tcPr>
            <w:tcW w:w="3114" w:type="dxa"/>
            <w:vAlign w:val="center"/>
          </w:tcPr>
          <w:p w:rsidR="00AE4DCC" w:rsidP="0011422A" w14:paraId="0A4E5161" w14:textId="77777777">
            <w:pPr>
              <w:pStyle w:val="AttendeesList"/>
            </w:pPr>
          </w:p>
        </w:tc>
        <w:tc>
          <w:tcPr>
            <w:tcW w:w="3128" w:type="dxa"/>
            <w:vAlign w:val="center"/>
          </w:tcPr>
          <w:p w:rsidR="00AE4DCC" w:rsidP="0011422A" w14:paraId="7994B3E7" w14:textId="77777777">
            <w:pPr>
              <w:pStyle w:val="AttendeesList"/>
            </w:pPr>
          </w:p>
        </w:tc>
      </w:tr>
    </w:tbl>
    <w:p w:rsidR="00AE4DCC" w:rsidP="00AE4DCC" w14:paraId="54CB29D6" w14:textId="77777777">
      <w:pPr>
        <w:pStyle w:val="Author"/>
      </w:pPr>
      <w:r>
        <w:t xml:space="preserve">Author: </w:t>
      </w:r>
      <w:r w:rsidR="00534809">
        <w:t>Andy Hevey</w:t>
      </w:r>
    </w:p>
    <w:p w:rsidR="00A317A9" w:rsidP="00337321" w14:paraId="1110DF7F" w14:textId="77777777">
      <w:pPr>
        <w:pStyle w:val="Author"/>
      </w:pPr>
    </w:p>
    <w:p w:rsidR="00F51B33" w:rsidRPr="00B62597" w:rsidP="00337321" w14:paraId="4F5ABC10" w14:textId="77777777">
      <w:pPr>
        <w:pStyle w:val="Author"/>
      </w:pPr>
    </w:p>
    <w:p w:rsidR="00B62597" w:rsidRPr="00B62597" w:rsidP="00DB29E9" w14:paraId="66EDA31A" w14:textId="77777777">
      <w:pPr>
        <w:pStyle w:val="DisclaimerHeading"/>
      </w:pPr>
      <w:r>
        <w:t>Anti</w:t>
      </w:r>
      <w:r w:rsidRPr="00B62597">
        <w:t>trust:</w:t>
      </w:r>
    </w:p>
    <w:p w:rsidR="00B62597" w:rsidRPr="00B62597" w:rsidP="00491490" w14:paraId="45970ED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14:paraId="4F21F5C6" w14:textId="77777777">
      <w:pPr>
        <w:pStyle w:val="DisclaimerHeading"/>
        <w:spacing w:before="240"/>
      </w:pPr>
      <w:r w:rsidRPr="00B62597">
        <w:t>Code of Conduct:</w:t>
      </w:r>
    </w:p>
    <w:p w:rsidR="00805F85" w:rsidRPr="00B62597" w:rsidP="00805F85" w14:paraId="64DE7D5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14:paraId="467AD589" w14:textId="77777777">
      <w:pPr>
        <w:pStyle w:val="DisclosureBody"/>
      </w:pPr>
    </w:p>
    <w:p w:rsidR="00B62597" w:rsidRPr="00B62597" w:rsidP="00B62597" w14:paraId="715EB053" w14:textId="77777777">
      <w:pPr>
        <w:spacing w:after="0" w:line="240" w:lineRule="auto"/>
        <w:rPr>
          <w:rFonts w:ascii="Arial Narrow" w:eastAsia="Times New Roman" w:hAnsi="Arial Narrow" w:cs="Times New Roman"/>
          <w:sz w:val="18"/>
          <w:szCs w:val="18"/>
        </w:rPr>
      </w:pPr>
    </w:p>
    <w:p w:rsidR="00B62597" w:rsidRPr="00B62597" w:rsidP="00337321" w14:paraId="589F4BE6" w14:textId="77777777">
      <w:pPr>
        <w:pStyle w:val="DisclosureTitle"/>
      </w:pPr>
      <w:r w:rsidRPr="00B62597">
        <w:t xml:space="preserve">Public Meetings/Media Participation: </w:t>
      </w:r>
    </w:p>
    <w:p w:rsidR="00DE34CF" w:rsidP="00337321" w14:paraId="722F982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6EE36EA" w14:textId="77777777">
      <w:pPr>
        <w:pStyle w:val="DisclaimerHeading"/>
        <w:spacing w:before="240"/>
      </w:pPr>
      <w:r>
        <w:t xml:space="preserve">Participant Identification in </w:t>
      </w:r>
      <w:r w:rsidR="00711249">
        <w:t>Webex</w:t>
      </w:r>
      <w:r>
        <w:t>:</w:t>
      </w:r>
    </w:p>
    <w:p w:rsidR="00027F49" w:rsidP="00027F49" w14:paraId="1BBD81F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02F4A6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14:paraId="41462650" w14:textId="77777777">
      <w:pPr>
        <w:pStyle w:val="DisclaimerBodyCopy"/>
      </w:pPr>
    </w:p>
    <w:p w:rsidR="00D2316E" w:rsidP="00D2316E" w14:paraId="3B389D2F" w14:textId="77777777">
      <w:pPr>
        <w:pStyle w:val="DisclaimerHeading"/>
      </w:pPr>
      <w:r>
        <w:rPr>
          <w:rStyle w:val="Strong"/>
        </w:rPr>
        <w:t>Participant Use of Webex Chat:</w:t>
      </w:r>
    </w:p>
    <w:p w:rsidR="00D2316E" w:rsidP="00D2316E" w14:paraId="05F2F0EA"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5410F681" w14:textId="77777777">
      <w:pPr>
        <w:pStyle w:val="DisclaimerBodyCopy"/>
      </w:pPr>
    </w:p>
    <w:p w:rsidR="00027F49" w:rsidP="00027F49" w14:paraId="29CDA73B" w14:textId="77777777">
      <w:pPr>
        <w:pStyle w:val="DisclosureBody"/>
      </w:pPr>
    </w:p>
    <w:p w:rsidR="00027F49" w:rsidP="00027F49" w14:paraId="51953948"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4C3577F" w14:textId="77777777">
      <w:pPr>
        <w:pStyle w:val="DisclaimerHeading"/>
      </w:pPr>
    </w:p>
    <w:p w:rsidR="00027F49" w:rsidRPr="009C15C4" w:rsidP="00027F49" w14:paraId="350082E5"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14:paraId="6FAA6A46" w14:textId="77777777"/>
    <w:p w:rsidR="0057441E" w:rsidRPr="009C15C4" w:rsidP="009C15C4" w14:paraId="77BBEC8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F3A38C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E00D36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0BA49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A68564B" w14:textId="67B1E92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3D68">
      <w:rPr>
        <w:rStyle w:val="PageNumber"/>
        <w:noProof/>
      </w:rPr>
      <w:t>2</w:t>
    </w:r>
    <w:r>
      <w:rPr>
        <w:rStyle w:val="PageNumber"/>
      </w:rPr>
      <w:fldChar w:fldCharType="end"/>
    </w:r>
  </w:p>
  <w:bookmarkStart w:id="3" w:name="OLE_LINK1"/>
  <w:p w:rsidR="00847601" w:rsidRPr="001678E8" w14:paraId="0FC37921" w14:textId="0782008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95E10">
      <w:rPr>
        <w:rFonts w:ascii="Arial Narrow" w:hAnsi="Arial Narrow"/>
        <w:sz w:val="20"/>
      </w:rPr>
      <w:t>5</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A83475F" w14:textId="0D759E3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D819B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95E10">
      <w:t>June 5, 2025</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3EB8"/>
    <w:rsid w:val="00027F49"/>
    <w:rsid w:val="000333FF"/>
    <w:rsid w:val="0006798D"/>
    <w:rsid w:val="00092135"/>
    <w:rsid w:val="001005C7"/>
    <w:rsid w:val="0011422A"/>
    <w:rsid w:val="00117AF9"/>
    <w:rsid w:val="00121F58"/>
    <w:rsid w:val="00150415"/>
    <w:rsid w:val="001678E8"/>
    <w:rsid w:val="00170E02"/>
    <w:rsid w:val="001B2242"/>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3D68"/>
    <w:rsid w:val="00337321"/>
    <w:rsid w:val="00394850"/>
    <w:rsid w:val="003B55E1"/>
    <w:rsid w:val="003C17E2"/>
    <w:rsid w:val="003C3320"/>
    <w:rsid w:val="003D7E5C"/>
    <w:rsid w:val="003E7A73"/>
    <w:rsid w:val="0041109D"/>
    <w:rsid w:val="00435F2D"/>
    <w:rsid w:val="004366FE"/>
    <w:rsid w:val="00454CCD"/>
    <w:rsid w:val="0046043F"/>
    <w:rsid w:val="00491490"/>
    <w:rsid w:val="00494494"/>
    <w:rsid w:val="004969FA"/>
    <w:rsid w:val="004B252B"/>
    <w:rsid w:val="00527104"/>
    <w:rsid w:val="00531C19"/>
    <w:rsid w:val="00534809"/>
    <w:rsid w:val="00564DEE"/>
    <w:rsid w:val="0057441E"/>
    <w:rsid w:val="005A5D0D"/>
    <w:rsid w:val="005B25BC"/>
    <w:rsid w:val="005D6D05"/>
    <w:rsid w:val="005E2FB6"/>
    <w:rsid w:val="0060141A"/>
    <w:rsid w:val="006024A0"/>
    <w:rsid w:val="00602967"/>
    <w:rsid w:val="00606F11"/>
    <w:rsid w:val="00646E3C"/>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3096F"/>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95E10"/>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1DD9CE"/>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