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E4DCC" w:rsidP="00AE4DCC" w14:paraId="1E6F7652" w14:textId="77777777">
      <w:pPr>
        <w:spacing w:after="0" w:line="240" w:lineRule="auto"/>
        <w:rPr>
          <w:rFonts w:ascii="Arial Narrow" w:eastAsia="Times New Roman" w:hAnsi="Arial Narrow" w:cs="Times New Roman"/>
          <w:sz w:val="24"/>
          <w:szCs w:val="24"/>
        </w:rPr>
      </w:pPr>
    </w:p>
    <w:p w:rsidR="00AE4DCC" w:rsidRPr="00B62597" w:rsidP="00AE4DCC" w14:paraId="351AE29C" w14:textId="77777777">
      <w:pPr>
        <w:pStyle w:val="MeetingDetails"/>
      </w:pPr>
      <w:r>
        <w:t>Load Analysis Subcommittee</w:t>
      </w:r>
    </w:p>
    <w:p w:rsidR="00AE4DCC" w:rsidRPr="00317419" w:rsidP="00AE4DCC" w14:paraId="637444B3"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Teleconference / WebEx</w:t>
      </w:r>
    </w:p>
    <w:p w:rsidR="00AE4DCC" w:rsidRPr="004366FE" w:rsidP="00AE4DCC" w14:paraId="7E7C728C" w14:textId="2C4E978A">
      <w:pPr>
        <w:pStyle w:val="MeetingDetails"/>
      </w:pPr>
      <w:r>
        <w:t>October</w:t>
      </w:r>
      <w:r w:rsidR="00E95E10">
        <w:t xml:space="preserve"> </w:t>
      </w:r>
      <w:r>
        <w:t>28</w:t>
      </w:r>
      <w:r w:rsidR="00E95E10">
        <w:t>, 2025</w:t>
      </w:r>
    </w:p>
    <w:p w:rsidR="00AE4DCC" w:rsidRPr="00B62597" w:rsidP="00AE4DCC" w14:paraId="074357CE" w14:textId="6A0CD4D4">
      <w:pPr>
        <w:pStyle w:val="MeetingDetails"/>
        <w:rPr>
          <w:sz w:val="28"/>
          <w:u w:val="single"/>
        </w:rPr>
      </w:pPr>
      <w:r>
        <w:t>9</w:t>
      </w:r>
      <w:r w:rsidR="0083096F">
        <w:t xml:space="preserve">:00 a.m. – </w:t>
      </w:r>
      <w:r>
        <w:t>12</w:t>
      </w:r>
      <w:r w:rsidR="0083096F">
        <w:t>:00 p.m. EPT</w:t>
      </w:r>
    </w:p>
    <w:p w:rsidR="00AE4DCC" w:rsidRPr="00B62597" w:rsidP="00AE4DCC" w14:paraId="3D8C1F86" w14:textId="77777777">
      <w:pPr>
        <w:spacing w:after="0" w:line="240" w:lineRule="auto"/>
        <w:rPr>
          <w:rFonts w:ascii="Arial Narrow" w:eastAsia="Times New Roman" w:hAnsi="Arial Narrow" w:cs="Times New Roman"/>
          <w:sz w:val="24"/>
          <w:szCs w:val="20"/>
        </w:rPr>
      </w:pPr>
    </w:p>
    <w:p w:rsidR="00AE4DCC" w:rsidRPr="005B25BC" w:rsidP="00AE4DCC" w14:paraId="43A23F88" w14:textId="39C930FF">
      <w:pPr>
        <w:pStyle w:val="PrimaryHeading"/>
        <w:rPr>
          <w:caps/>
          <w:sz w:val="24"/>
          <w:szCs w:val="24"/>
        </w:rPr>
      </w:pPr>
      <w:bookmarkStart w:id="0" w:name="OLE_LINK5"/>
      <w:bookmarkStart w:id="1" w:name="OLE_LINK3"/>
      <w:r w:rsidRPr="005B25BC">
        <w:rPr>
          <w:sz w:val="24"/>
          <w:szCs w:val="24"/>
        </w:rPr>
        <w:t>Administration (</w:t>
      </w:r>
      <w:r w:rsidR="00202DE3">
        <w:rPr>
          <w:sz w:val="24"/>
          <w:szCs w:val="24"/>
        </w:rPr>
        <w:t>9</w:t>
      </w:r>
      <w:r w:rsidRPr="005B25BC">
        <w:rPr>
          <w:sz w:val="24"/>
          <w:szCs w:val="24"/>
        </w:rPr>
        <w:t>:00-</w:t>
      </w:r>
      <w:r w:rsidR="00202DE3">
        <w:rPr>
          <w:sz w:val="24"/>
          <w:szCs w:val="24"/>
        </w:rPr>
        <w:t>9</w:t>
      </w:r>
      <w:r w:rsidRPr="005B25BC">
        <w:rPr>
          <w:sz w:val="24"/>
          <w:szCs w:val="24"/>
        </w:rPr>
        <w:t>:10)</w:t>
      </w:r>
    </w:p>
    <w:bookmarkEnd w:id="0"/>
    <w:bookmarkEnd w:id="1"/>
    <w:p w:rsidR="00AE4DCC" w:rsidRPr="004B252B" w:rsidP="00AE4DCC" w14:paraId="426C14CE" w14:textId="77777777">
      <w:pPr>
        <w:numPr>
          <w:ilvl w:val="0"/>
          <w:numId w:val="13"/>
        </w:numPr>
        <w:tabs>
          <w:tab w:val="left" w:pos="0"/>
        </w:tabs>
        <w:spacing w:before="120" w:line="240" w:lineRule="auto"/>
        <w:rPr>
          <w:rFonts w:ascii="Arial Narrow" w:eastAsia="Times New Roman" w:hAnsi="Arial Narrow" w:cs="Times New Roman"/>
          <w:sz w:val="24"/>
        </w:rPr>
      </w:pPr>
      <w:r w:rsidRPr="004B252B">
        <w:rPr>
          <w:rFonts w:ascii="Arial Narrow" w:eastAsia="Times New Roman" w:hAnsi="Arial Narrow" w:cs="Times New Roman"/>
          <w:sz w:val="24"/>
        </w:rPr>
        <w:t>Welcome, announcements and review of the Anti-trust, Code of Conduct, and Media Participation Guidelines.</w:t>
      </w:r>
    </w:p>
    <w:p w:rsidR="00202DE3" w:rsidRPr="00202DE3" w:rsidP="00202DE3" w14:paraId="16E1F504" w14:textId="2864B114">
      <w:pPr>
        <w:numPr>
          <w:ilvl w:val="0"/>
          <w:numId w:val="13"/>
        </w:numPr>
        <w:tabs>
          <w:tab w:val="left" w:pos="0"/>
        </w:tabs>
        <w:spacing w:line="240" w:lineRule="auto"/>
        <w:rPr>
          <w:rFonts w:ascii="Arial Narrow" w:eastAsia="Times New Roman" w:hAnsi="Arial Narrow" w:cs="Times New Roman"/>
          <w:sz w:val="24"/>
        </w:rPr>
      </w:pPr>
      <w:r w:rsidRPr="004B252B">
        <w:rPr>
          <w:rFonts w:ascii="Arial Narrow" w:eastAsia="Times New Roman" w:hAnsi="Arial Narrow" w:cs="Times New Roman"/>
          <w:sz w:val="24"/>
        </w:rPr>
        <w:t xml:space="preserve">Approve draft minutes from the </w:t>
      </w:r>
      <w:r>
        <w:rPr>
          <w:rFonts w:ascii="Arial Narrow" w:eastAsia="Times New Roman" w:hAnsi="Arial Narrow" w:cs="Times New Roman"/>
          <w:sz w:val="24"/>
        </w:rPr>
        <w:t>September 16</w:t>
      </w:r>
      <w:r w:rsidRPr="00E95E10" w:rsidR="00E95E10">
        <w:rPr>
          <w:rFonts w:ascii="Arial Narrow" w:eastAsia="Times New Roman" w:hAnsi="Arial Narrow" w:cs="Times New Roman"/>
          <w:sz w:val="24"/>
        </w:rPr>
        <w:t>, 202</w:t>
      </w:r>
      <w:r>
        <w:rPr>
          <w:rFonts w:ascii="Arial Narrow" w:eastAsia="Times New Roman" w:hAnsi="Arial Narrow" w:cs="Times New Roman"/>
          <w:sz w:val="24"/>
        </w:rPr>
        <w:t>5</w:t>
      </w:r>
      <w:r w:rsidRPr="00E95E10" w:rsidR="00E95E10">
        <w:rPr>
          <w:rFonts w:ascii="Arial Narrow" w:eastAsia="Times New Roman" w:hAnsi="Arial Narrow" w:cs="Times New Roman"/>
          <w:sz w:val="24"/>
        </w:rPr>
        <w:t xml:space="preserve"> </w:t>
      </w:r>
      <w:r>
        <w:rPr>
          <w:rFonts w:ascii="Arial Narrow" w:eastAsia="Times New Roman" w:hAnsi="Arial Narrow" w:cs="Times New Roman"/>
          <w:sz w:val="24"/>
        </w:rPr>
        <w:t>LAS</w:t>
      </w:r>
      <w:r w:rsidRPr="004B252B">
        <w:rPr>
          <w:rFonts w:ascii="Arial Narrow" w:eastAsia="Times New Roman" w:hAnsi="Arial Narrow" w:cs="Times New Roman"/>
          <w:sz w:val="24"/>
        </w:rPr>
        <w:t xml:space="preserve"> meeting</w:t>
      </w:r>
    </w:p>
    <w:p w:rsidR="00AE4DCC" w:rsidRPr="005B25BC" w:rsidP="00AE4DCC" w14:paraId="5465B11D" w14:textId="50FD3F84">
      <w:pPr>
        <w:pStyle w:val="PrimaryHeading"/>
        <w:rPr>
          <w:sz w:val="24"/>
          <w:szCs w:val="24"/>
        </w:rPr>
      </w:pPr>
      <w:r>
        <w:rPr>
          <w:sz w:val="24"/>
          <w:szCs w:val="24"/>
        </w:rPr>
        <w:t>Meeting Materials</w:t>
      </w:r>
      <w:r w:rsidRPr="005B25BC">
        <w:rPr>
          <w:sz w:val="24"/>
          <w:szCs w:val="24"/>
        </w:rPr>
        <w:t xml:space="preserve"> (</w:t>
      </w:r>
      <w:r w:rsidR="00202DE3">
        <w:rPr>
          <w:sz w:val="24"/>
          <w:szCs w:val="24"/>
        </w:rPr>
        <w:t>9</w:t>
      </w:r>
      <w:r w:rsidRPr="005B25BC">
        <w:rPr>
          <w:sz w:val="24"/>
          <w:szCs w:val="24"/>
        </w:rPr>
        <w:t>:10</w:t>
      </w:r>
      <w:r>
        <w:rPr>
          <w:sz w:val="24"/>
          <w:szCs w:val="24"/>
        </w:rPr>
        <w:t xml:space="preserve"> </w:t>
      </w:r>
      <w:r w:rsidRPr="005B25BC">
        <w:rPr>
          <w:sz w:val="24"/>
          <w:szCs w:val="24"/>
        </w:rPr>
        <w:t>-</w:t>
      </w:r>
      <w:r>
        <w:rPr>
          <w:sz w:val="24"/>
          <w:szCs w:val="24"/>
        </w:rPr>
        <w:t xml:space="preserve"> </w:t>
      </w:r>
      <w:r w:rsidR="00202DE3">
        <w:rPr>
          <w:sz w:val="24"/>
          <w:szCs w:val="24"/>
        </w:rPr>
        <w:t>12</w:t>
      </w:r>
      <w:r w:rsidRPr="005B25BC">
        <w:rPr>
          <w:sz w:val="24"/>
          <w:szCs w:val="24"/>
        </w:rPr>
        <w:t>:00)</w:t>
      </w:r>
    </w:p>
    <w:p w:rsidR="00AE4DCC" w:rsidP="00AE4DCC" w14:paraId="5C489148" w14:textId="77777777">
      <w:pPr>
        <w:pStyle w:val="ListSubhead1"/>
        <w:numPr>
          <w:ilvl w:val="0"/>
          <w:numId w:val="0"/>
        </w:numPr>
        <w:spacing w:after="0"/>
        <w:ind w:left="360"/>
        <w:rPr>
          <w:b w:val="0"/>
        </w:rPr>
      </w:pPr>
    </w:p>
    <w:p w:rsidR="00E95E10" w:rsidRPr="00E95E10" w:rsidP="00E95E10" w14:paraId="2A9DDE84" w14:textId="6D55DB44">
      <w:pPr>
        <w:pStyle w:val="ListParagraph"/>
        <w:numPr>
          <w:ilvl w:val="0"/>
          <w:numId w:val="13"/>
        </w:numPr>
        <w:rPr>
          <w:rFonts w:ascii="Arial Narrow" w:eastAsia="Times New Roman" w:hAnsi="Arial Narrow" w:cs="Times New Roman"/>
          <w:sz w:val="24"/>
          <w:u w:val="single"/>
        </w:rPr>
      </w:pPr>
      <w:r>
        <w:rPr>
          <w:rFonts w:ascii="Arial Narrow" w:eastAsia="Times New Roman" w:hAnsi="Arial Narrow" w:cs="Times New Roman"/>
          <w:sz w:val="24"/>
          <w:u w:val="single"/>
        </w:rPr>
        <w:t>Summer 2025 Review</w:t>
      </w:r>
    </w:p>
    <w:p w:rsidR="00202DE3" w:rsidP="00202DE3" w14:paraId="63D9E91B" w14:textId="7F7AF765">
      <w:pPr>
        <w:pStyle w:val="SecondaryHeading-Numbered"/>
        <w:numPr>
          <w:ilvl w:val="0"/>
          <w:numId w:val="0"/>
        </w:numPr>
        <w:spacing w:after="100"/>
        <w:ind w:left="360"/>
        <w:rPr>
          <w:b w:val="0"/>
        </w:rPr>
      </w:pPr>
      <w:r>
        <w:rPr>
          <w:b w:val="0"/>
        </w:rPr>
        <w:t>Molly Mooney, PJM, will review loads</w:t>
      </w:r>
      <w:r>
        <w:rPr>
          <w:b w:val="0"/>
        </w:rPr>
        <w:t xml:space="preserve"> and model results</w:t>
      </w:r>
      <w:r>
        <w:rPr>
          <w:b w:val="0"/>
        </w:rPr>
        <w:t xml:space="preserve"> from Summer 202</w:t>
      </w:r>
      <w:r>
        <w:rPr>
          <w:b w:val="0"/>
        </w:rPr>
        <w:t>5</w:t>
      </w:r>
      <w:r>
        <w:rPr>
          <w:b w:val="0"/>
        </w:rPr>
        <w:t>.</w:t>
      </w:r>
    </w:p>
    <w:p w:rsidR="00333D68" w:rsidP="00E95E10" w14:paraId="4A58CC6A" w14:textId="77777777">
      <w:pPr>
        <w:pStyle w:val="ListParagraph"/>
        <w:tabs>
          <w:tab w:val="left" w:pos="0"/>
        </w:tabs>
        <w:spacing w:after="100"/>
        <w:ind w:left="360"/>
        <w:rPr>
          <w:rFonts w:ascii="Arial Narrow" w:hAnsi="Arial Narrow"/>
          <w:sz w:val="24"/>
        </w:rPr>
      </w:pPr>
    </w:p>
    <w:p w:rsidR="00333D68" w:rsidRPr="00E95E10" w:rsidP="00333D68" w14:paraId="376A5B96" w14:textId="2D71A90A">
      <w:pPr>
        <w:pStyle w:val="ListParagraph"/>
        <w:numPr>
          <w:ilvl w:val="0"/>
          <w:numId w:val="13"/>
        </w:numPr>
        <w:rPr>
          <w:rFonts w:ascii="Arial Narrow" w:eastAsia="Times New Roman" w:hAnsi="Arial Narrow" w:cs="Times New Roman"/>
          <w:sz w:val="24"/>
          <w:u w:val="single"/>
        </w:rPr>
      </w:pPr>
      <w:r w:rsidRPr="00E95E10">
        <w:rPr>
          <w:rFonts w:ascii="Arial Narrow" w:eastAsia="Times New Roman" w:hAnsi="Arial Narrow" w:cs="Times New Roman"/>
          <w:sz w:val="24"/>
          <w:u w:val="single"/>
        </w:rPr>
        <w:t>2026 PJM Load Forecast</w:t>
      </w:r>
      <w:r>
        <w:rPr>
          <w:rFonts w:ascii="Arial Narrow" w:eastAsia="Times New Roman" w:hAnsi="Arial Narrow" w:cs="Times New Roman"/>
          <w:sz w:val="24"/>
          <w:u w:val="single"/>
        </w:rPr>
        <w:t xml:space="preserve"> </w:t>
      </w:r>
      <w:r w:rsidR="00BD774B">
        <w:rPr>
          <w:rFonts w:ascii="Arial Narrow" w:eastAsia="Times New Roman" w:hAnsi="Arial Narrow" w:cs="Times New Roman"/>
          <w:sz w:val="24"/>
          <w:u w:val="single"/>
        </w:rPr>
        <w:t>Model Assumptions</w:t>
      </w:r>
    </w:p>
    <w:p w:rsidR="00202DE3" w:rsidP="00202DE3" w14:paraId="4C8812D9" w14:textId="4F11D7A4">
      <w:pPr>
        <w:pStyle w:val="SecondaryHeading-Numbered"/>
        <w:numPr>
          <w:ilvl w:val="0"/>
          <w:numId w:val="0"/>
        </w:numPr>
        <w:spacing w:after="100"/>
        <w:ind w:left="360"/>
        <w:rPr>
          <w:b w:val="0"/>
        </w:rPr>
      </w:pPr>
      <w:r>
        <w:rPr>
          <w:b w:val="0"/>
        </w:rPr>
        <w:t xml:space="preserve">Molly Mooney will review </w:t>
      </w:r>
      <w:r>
        <w:rPr>
          <w:b w:val="0"/>
        </w:rPr>
        <w:t xml:space="preserve">2026 </w:t>
      </w:r>
      <w:r>
        <w:rPr>
          <w:b w:val="0"/>
        </w:rPr>
        <w:t>forecast model work and forecast assumptions</w:t>
      </w:r>
      <w:r>
        <w:rPr>
          <w:b w:val="0"/>
        </w:rPr>
        <w:t xml:space="preserve"> including economics, electric vehicles, behing the meter solar and battery and Energy Information Administration (EIA) Annual Energy Outlook (AEO) update.</w:t>
      </w:r>
    </w:p>
    <w:p w:rsidR="00202DE3" w:rsidP="00202DE3" w14:paraId="2CDD3190" w14:textId="77777777">
      <w:pPr>
        <w:pStyle w:val="ListParagraph"/>
        <w:tabs>
          <w:tab w:val="left" w:pos="0"/>
        </w:tabs>
        <w:spacing w:after="100"/>
        <w:ind w:left="360"/>
        <w:rPr>
          <w:rFonts w:ascii="Arial Narrow" w:hAnsi="Arial Narrow"/>
          <w:sz w:val="24"/>
          <w:u w:val="single"/>
        </w:rPr>
      </w:pPr>
    </w:p>
    <w:p w:rsidR="00A83B01" w:rsidRPr="00C562B9" w:rsidP="00A83B01" w14:paraId="3A24C164" w14:textId="6A358570">
      <w:pPr>
        <w:pStyle w:val="ListParagraph"/>
        <w:numPr>
          <w:ilvl w:val="0"/>
          <w:numId w:val="13"/>
        </w:numPr>
        <w:tabs>
          <w:tab w:val="left" w:pos="0"/>
        </w:tabs>
        <w:spacing w:after="100"/>
        <w:rPr>
          <w:rFonts w:ascii="Arial Narrow" w:hAnsi="Arial Narrow"/>
          <w:sz w:val="24"/>
          <w:u w:val="single"/>
        </w:rPr>
      </w:pPr>
      <w:r>
        <w:rPr>
          <w:rFonts w:ascii="Arial Narrow" w:hAnsi="Arial Narrow"/>
          <w:sz w:val="24"/>
          <w:u w:val="single"/>
        </w:rPr>
        <w:t xml:space="preserve">Large Load Adjustments </w:t>
      </w:r>
    </w:p>
    <w:p w:rsidR="00A83B01" w:rsidRPr="00A83B01" w:rsidP="00A83B01" w14:paraId="455B7F70" w14:textId="5DF05413">
      <w:pPr>
        <w:pStyle w:val="ListParagraph"/>
        <w:tabs>
          <w:tab w:val="left" w:pos="0"/>
        </w:tabs>
        <w:spacing w:after="100"/>
        <w:ind w:left="360"/>
        <w:rPr>
          <w:rFonts w:ascii="Arial Narrow" w:hAnsi="Arial Narrow"/>
          <w:sz w:val="24"/>
        </w:rPr>
      </w:pPr>
      <w:r>
        <w:rPr>
          <w:rFonts w:ascii="Arial Narrow" w:hAnsi="Arial Narrow"/>
          <w:sz w:val="24"/>
        </w:rPr>
        <w:t xml:space="preserve">Andrew Gledhill, </w:t>
      </w:r>
      <w:r>
        <w:rPr>
          <w:rFonts w:ascii="Arial Narrow" w:hAnsi="Arial Narrow"/>
          <w:sz w:val="24"/>
        </w:rPr>
        <w:t>PJM</w:t>
      </w:r>
      <w:r>
        <w:rPr>
          <w:rFonts w:ascii="Arial Narrow" w:hAnsi="Arial Narrow"/>
          <w:sz w:val="24"/>
        </w:rPr>
        <w:t>, will review the Critical Issue Fast Path initiative for Large Load Additions as it relates to the PJM Load Forecast and a summary of 2026 requests.</w:t>
      </w:r>
      <w:r>
        <w:rPr>
          <w:rFonts w:ascii="Arial Narrow" w:hAnsi="Arial Narrow"/>
          <w:sz w:val="24"/>
        </w:rPr>
        <w:t xml:space="preserve"> </w:t>
      </w:r>
    </w:p>
    <w:p w:rsidR="00AE4DCC" w:rsidRPr="0060141A" w:rsidP="00AE4DCC" w14:paraId="577998EF" w14:textId="77777777">
      <w:pPr>
        <w:pStyle w:val="SecondaryHeading-Numbered"/>
        <w:numPr>
          <w:ilvl w:val="0"/>
          <w:numId w:val="0"/>
        </w:numPr>
        <w:spacing w:after="0"/>
        <w:ind w:left="360"/>
        <w:rPr>
          <w:sz w:val="16"/>
          <w:szCs w:val="16"/>
        </w:rPr>
      </w:pPr>
    </w:p>
    <w:p w:rsidR="00AE4DCC" w:rsidRPr="0030164E" w:rsidP="00AE4DCC" w14:paraId="6EECFD43" w14:textId="77777777">
      <w:pPr>
        <w:pStyle w:val="PrimaryHeading"/>
        <w:rPr>
          <w:sz w:val="24"/>
          <w:szCs w:val="24"/>
        </w:rPr>
      </w:pPr>
      <w:r w:rsidRPr="0030164E">
        <w:rPr>
          <w:sz w:val="24"/>
          <w:szCs w:val="24"/>
        </w:rPr>
        <w:t xml:space="preserve">Informational </w:t>
      </w:r>
      <w:r>
        <w:rPr>
          <w:sz w:val="24"/>
          <w:szCs w:val="24"/>
        </w:rPr>
        <w:t>Update</w:t>
      </w:r>
    </w:p>
    <w:p w:rsidR="00AE4DCC" w:rsidP="00AE4DCC" w14:paraId="14BCD786" w14:textId="77777777">
      <w:pPr>
        <w:pStyle w:val="SecondaryHeading-Numbered"/>
        <w:numPr>
          <w:ilvl w:val="0"/>
          <w:numId w:val="0"/>
        </w:numPr>
        <w:rPr>
          <w:b w:val="0"/>
        </w:rPr>
      </w:pPr>
      <w:r>
        <w:rPr>
          <w:b w:val="0"/>
        </w:rPr>
        <w:t xml:space="preserve"> </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0"/>
        <w:gridCol w:w="180"/>
        <w:gridCol w:w="900"/>
        <w:gridCol w:w="3600"/>
        <w:gridCol w:w="1816"/>
        <w:gridCol w:w="1529"/>
      </w:tblGrid>
      <w:tr w14:paraId="27C5BC74" w14:textId="77777777" w:rsidTr="00646E3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AE4DCC" w:rsidRPr="003C3320" w:rsidP="0011422A" w14:paraId="2BA4DD9D" w14:textId="77777777">
            <w:pPr>
              <w:pStyle w:val="tableheading0"/>
              <w:ind w:left="-23"/>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E4DCC" w:rsidRPr="00DA23DE" w:rsidP="0011422A" w14:paraId="6ED690C5" w14:textId="77777777">
            <w:pPr>
              <w:pStyle w:val="DisclaimerHeading"/>
              <w:spacing w:before="40" w:after="40"/>
              <w:jc w:val="center"/>
              <w:rPr>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E4DCC" w:rsidRPr="00DA23DE" w:rsidP="0011422A" w14:paraId="387CD35F" w14:textId="77777777">
            <w:pPr>
              <w:pStyle w:val="DisclaimerHeading"/>
              <w:spacing w:before="40" w:after="40"/>
              <w:jc w:val="center"/>
              <w:rPr>
                <w:color w:val="FFFFFF" w:themeColor="background1"/>
                <w:sz w:val="19"/>
                <w:szCs w:val="19"/>
              </w:rPr>
            </w:pPr>
            <w:r w:rsidRPr="00DA23DE">
              <w:rPr>
                <w:b/>
                <w:color w:val="FFFFFF" w:themeColor="background1"/>
                <w:sz w:val="19"/>
                <w:szCs w:val="19"/>
              </w:rPr>
              <w:t>Materials Published</w:t>
            </w:r>
          </w:p>
        </w:tc>
      </w:tr>
      <w:tr w14:paraId="0AC4A42F" w14:textId="77777777" w:rsidTr="00646E3C">
        <w:tblPrEx>
          <w:tblW w:w="0" w:type="auto"/>
          <w:tblLook w:val="04A0"/>
        </w:tblPrEx>
        <w:trPr>
          <w:trHeight w:val="296"/>
        </w:trPr>
        <w:tc>
          <w:tcPr>
            <w:tcW w:w="1440" w:type="dxa"/>
            <w:gridSpan w:val="2"/>
            <w:tcBorders>
              <w:top w:val="single" w:sz="4" w:space="0" w:color="auto"/>
              <w:bottom w:val="single" w:sz="6" w:space="0" w:color="FFFFFF" w:themeColor="background1"/>
              <w:right w:val="single" w:sz="4" w:space="0" w:color="auto"/>
            </w:tcBorders>
            <w:shd w:val="clear" w:color="auto" w:fill="000000" w:themeFill="text2"/>
            <w:vAlign w:val="center"/>
          </w:tcPr>
          <w:p w:rsidR="00AE4DCC" w:rsidRPr="00BB6921" w:rsidP="0011422A" w14:paraId="67DB78EB" w14:textId="77777777">
            <w:pPr>
              <w:pStyle w:val="DisclaimerHeading"/>
              <w:rPr>
                <w:color w:val="auto"/>
                <w:sz w:val="19"/>
                <w:szCs w:val="19"/>
              </w:rPr>
            </w:pPr>
            <w:r w:rsidRPr="00BB6921">
              <w:rPr>
                <w:i w:val="0"/>
                <w:color w:val="auto"/>
                <w:sz w:val="19"/>
                <w:szCs w:val="19"/>
              </w:rPr>
              <w:t>Date</w:t>
            </w:r>
          </w:p>
        </w:tc>
        <w:tc>
          <w:tcPr>
            <w:tcW w:w="90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E4DCC" w:rsidRPr="00BB6921" w:rsidP="0011422A" w14:paraId="69BAB3D9" w14:textId="77777777">
            <w:pPr>
              <w:pStyle w:val="DisclaimerHeading"/>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E4DCC" w:rsidRPr="00BB6921" w:rsidP="0011422A" w14:paraId="3A927BED" w14:textId="77777777">
            <w:pPr>
              <w:pStyle w:val="DisclaimerHeading"/>
              <w:jc w:val="center"/>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E4DCC" w:rsidRPr="00C10A93" w:rsidP="0011422A" w14:paraId="20A902C0"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E4DCC" w:rsidRPr="00C10A93" w:rsidP="0011422A" w14:paraId="0EDB3673" w14:textId="77777777">
            <w:pPr>
              <w:pStyle w:val="DisclaimerHeading"/>
              <w:jc w:val="center"/>
              <w:rPr>
                <w:color w:val="FFFFFF" w:themeColor="background1"/>
                <w:sz w:val="19"/>
                <w:szCs w:val="19"/>
              </w:rPr>
            </w:pPr>
          </w:p>
        </w:tc>
      </w:tr>
      <w:tr w14:paraId="395C52DC" w14:textId="77777777" w:rsidTr="00646E3C">
        <w:tblPrEx>
          <w:tblW w:w="0" w:type="auto"/>
          <w:tblLook w:val="04A0"/>
        </w:tblPrEx>
        <w:trPr>
          <w:trHeight w:val="331"/>
        </w:trPr>
        <w:tc>
          <w:tcPr>
            <w:tcW w:w="1260" w:type="dxa"/>
            <w:tcBorders>
              <w:top w:val="single" w:sz="4" w:space="0" w:color="auto"/>
              <w:right w:val="single" w:sz="4" w:space="0" w:color="auto"/>
            </w:tcBorders>
            <w:shd w:val="clear" w:color="auto" w:fill="E1F6FF"/>
            <w:vAlign w:val="bottom"/>
          </w:tcPr>
          <w:p w:rsidR="00AE4DCC" w:rsidP="0011422A" w14:paraId="34DB60B6" w14:textId="78DCDBC1">
            <w:pPr>
              <w:pStyle w:val="AttendeesList"/>
              <w:ind w:left="720" w:hanging="720"/>
              <w:jc w:val="center"/>
              <w:rPr>
                <w:sz w:val="22"/>
                <w:szCs w:val="22"/>
              </w:rPr>
            </w:pPr>
            <w:r>
              <w:rPr>
                <w:sz w:val="22"/>
                <w:szCs w:val="22"/>
              </w:rPr>
              <w:t>11/24</w:t>
            </w:r>
            <w:r w:rsidR="0083096F">
              <w:rPr>
                <w:sz w:val="22"/>
                <w:szCs w:val="22"/>
              </w:rPr>
              <w:t>/2025</w:t>
            </w:r>
          </w:p>
        </w:tc>
        <w:tc>
          <w:tcPr>
            <w:tcW w:w="1080" w:type="dxa"/>
            <w:gridSpan w:val="2"/>
            <w:tcBorders>
              <w:top w:val="single" w:sz="4" w:space="0" w:color="auto"/>
              <w:left w:val="single" w:sz="4" w:space="0" w:color="auto"/>
              <w:right w:val="single" w:sz="8" w:space="0" w:color="auto"/>
            </w:tcBorders>
            <w:vAlign w:val="center"/>
          </w:tcPr>
          <w:p w:rsidR="00AE4DCC" w:rsidRPr="00237312" w:rsidP="0011422A" w14:paraId="5F1A0473" w14:textId="098CAE86">
            <w:pPr>
              <w:pStyle w:val="AttendeesList"/>
              <w:rPr>
                <w:szCs w:val="18"/>
              </w:rPr>
            </w:pPr>
            <w:r>
              <w:rPr>
                <w:szCs w:val="18"/>
              </w:rPr>
              <w:t>1</w:t>
            </w:r>
            <w:r w:rsidR="0083096F">
              <w:rPr>
                <w:szCs w:val="18"/>
              </w:rPr>
              <w:t>:00 - 4:00</w:t>
            </w:r>
          </w:p>
        </w:tc>
        <w:tc>
          <w:tcPr>
            <w:tcW w:w="3600" w:type="dxa"/>
            <w:tcBorders>
              <w:top w:val="single" w:sz="4" w:space="0" w:color="auto"/>
              <w:left w:val="single" w:sz="8" w:space="0" w:color="auto"/>
              <w:right w:val="single" w:sz="8" w:space="0" w:color="auto"/>
            </w:tcBorders>
            <w:vAlign w:val="center"/>
          </w:tcPr>
          <w:p w:rsidR="00AE4DCC" w:rsidRPr="00237312" w:rsidP="0011422A" w14:paraId="0429A3EC" w14:textId="33704611">
            <w:pPr>
              <w:pStyle w:val="event-address"/>
              <w:rPr>
                <w:rFonts w:ascii="Arial Narrow" w:hAnsi="Arial Narrow"/>
                <w:color w:val="222222"/>
                <w:sz w:val="22"/>
                <w:szCs w:val="22"/>
              </w:rPr>
            </w:pPr>
            <w:r>
              <w:rPr>
                <w:rFonts w:ascii="Arial Narrow" w:hAnsi="Arial Narrow"/>
                <w:color w:val="222222"/>
                <w:sz w:val="22"/>
                <w:szCs w:val="22"/>
              </w:rPr>
              <w:t>Teleconference / WebEx</w:t>
            </w:r>
          </w:p>
        </w:tc>
        <w:tc>
          <w:tcPr>
            <w:tcW w:w="1816" w:type="dxa"/>
            <w:tcBorders>
              <w:top w:val="single" w:sz="4" w:space="0" w:color="auto"/>
              <w:left w:val="single" w:sz="4" w:space="0" w:color="auto"/>
              <w:right w:val="single" w:sz="4" w:space="0" w:color="auto"/>
            </w:tcBorders>
            <w:vAlign w:val="bottom"/>
          </w:tcPr>
          <w:p w:rsidR="00AE4DCC" w:rsidRPr="00237312" w:rsidP="0011422A" w14:paraId="4C8236AD" w14:textId="301E37BB">
            <w:pPr>
              <w:pStyle w:val="event-address"/>
              <w:jc w:val="center"/>
              <w:rPr>
                <w:rFonts w:ascii="Arial Narrow" w:hAnsi="Arial Narrow"/>
                <w:color w:val="222222"/>
                <w:sz w:val="22"/>
                <w:szCs w:val="22"/>
              </w:rPr>
            </w:pPr>
            <w:r>
              <w:rPr>
                <w:rFonts w:ascii="Arial Narrow" w:hAnsi="Arial Narrow"/>
                <w:color w:val="222222"/>
                <w:sz w:val="22"/>
                <w:szCs w:val="22"/>
              </w:rPr>
              <w:t>11</w:t>
            </w:r>
            <w:r w:rsidR="0083096F">
              <w:rPr>
                <w:rFonts w:ascii="Arial Narrow" w:hAnsi="Arial Narrow"/>
                <w:color w:val="222222"/>
                <w:sz w:val="22"/>
                <w:szCs w:val="22"/>
              </w:rPr>
              <w:t>/</w:t>
            </w:r>
            <w:r>
              <w:rPr>
                <w:rFonts w:ascii="Arial Narrow" w:hAnsi="Arial Narrow"/>
                <w:color w:val="222222"/>
                <w:sz w:val="22"/>
                <w:szCs w:val="22"/>
              </w:rPr>
              <w:t>17</w:t>
            </w:r>
            <w:r w:rsidR="0083096F">
              <w:rPr>
                <w:rFonts w:ascii="Arial Narrow" w:hAnsi="Arial Narrow"/>
                <w:color w:val="222222"/>
                <w:sz w:val="22"/>
                <w:szCs w:val="22"/>
              </w:rPr>
              <w:t>/25</w:t>
            </w:r>
          </w:p>
        </w:tc>
        <w:tc>
          <w:tcPr>
            <w:tcW w:w="1529" w:type="dxa"/>
            <w:tcBorders>
              <w:top w:val="single" w:sz="4" w:space="0" w:color="auto"/>
              <w:left w:val="single" w:sz="4" w:space="0" w:color="auto"/>
              <w:right w:val="single" w:sz="4" w:space="0" w:color="auto"/>
            </w:tcBorders>
            <w:vAlign w:val="bottom"/>
          </w:tcPr>
          <w:p w:rsidR="00AE4DCC" w:rsidRPr="00237312" w:rsidP="0011422A" w14:paraId="3A786F8D" w14:textId="4D78D587">
            <w:pPr>
              <w:pStyle w:val="event-address"/>
              <w:jc w:val="center"/>
              <w:rPr>
                <w:rFonts w:ascii="Arial Narrow" w:hAnsi="Arial Narrow"/>
                <w:color w:val="222222"/>
                <w:sz w:val="22"/>
                <w:szCs w:val="22"/>
              </w:rPr>
            </w:pPr>
            <w:r>
              <w:rPr>
                <w:rFonts w:ascii="Arial Narrow" w:hAnsi="Arial Narrow"/>
                <w:color w:val="222222"/>
                <w:sz w:val="22"/>
                <w:szCs w:val="22"/>
              </w:rPr>
              <w:t>11/</w:t>
            </w:r>
            <w:r w:rsidR="0083096F">
              <w:rPr>
                <w:rFonts w:ascii="Arial Narrow" w:hAnsi="Arial Narrow"/>
                <w:color w:val="222222"/>
                <w:sz w:val="22"/>
                <w:szCs w:val="22"/>
              </w:rPr>
              <w:t>1</w:t>
            </w:r>
            <w:r>
              <w:rPr>
                <w:rFonts w:ascii="Arial Narrow" w:hAnsi="Arial Narrow"/>
                <w:color w:val="222222"/>
                <w:sz w:val="22"/>
                <w:szCs w:val="22"/>
              </w:rPr>
              <w:t>9</w:t>
            </w:r>
            <w:r w:rsidR="0083096F">
              <w:rPr>
                <w:rFonts w:ascii="Arial Narrow" w:hAnsi="Arial Narrow"/>
                <w:color w:val="222222"/>
                <w:sz w:val="22"/>
                <w:szCs w:val="22"/>
              </w:rPr>
              <w:t>/25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118"/>
        <w:gridCol w:w="3114"/>
        <w:gridCol w:w="3128"/>
      </w:tblGrid>
      <w:tr w14:paraId="58C69190" w14:textId="77777777" w:rsidTr="001142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c>
          <w:tcPr>
            <w:tcW w:w="3118" w:type="dxa"/>
            <w:vAlign w:val="center"/>
          </w:tcPr>
          <w:p w:rsidR="00AE4DCC" w:rsidP="0011422A" w14:paraId="25E38536" w14:textId="77777777"/>
          <w:p w:rsidR="00AE4DCC" w:rsidP="0011422A" w14:paraId="247A2071" w14:textId="77777777"/>
          <w:p w:rsidR="00AE4DCC" w:rsidRPr="00B62597" w:rsidP="0011422A" w14:paraId="7C3B4EE3" w14:textId="77777777"/>
        </w:tc>
        <w:tc>
          <w:tcPr>
            <w:tcW w:w="3114" w:type="dxa"/>
            <w:vAlign w:val="center"/>
          </w:tcPr>
          <w:p w:rsidR="00AE4DCC" w:rsidP="0011422A" w14:paraId="0A4E5161" w14:textId="77777777">
            <w:pPr>
              <w:pStyle w:val="AttendeesList"/>
            </w:pPr>
          </w:p>
        </w:tc>
        <w:tc>
          <w:tcPr>
            <w:tcW w:w="3128" w:type="dxa"/>
            <w:vAlign w:val="center"/>
          </w:tcPr>
          <w:p w:rsidR="00AE4DCC" w:rsidP="0011422A" w14:paraId="7994B3E7" w14:textId="77777777">
            <w:pPr>
              <w:pStyle w:val="AttendeesList"/>
            </w:pPr>
          </w:p>
        </w:tc>
      </w:tr>
    </w:tbl>
    <w:p w:rsidR="00AE4DCC" w:rsidP="00AE4DCC" w14:paraId="54CB29D6" w14:textId="77777777">
      <w:pPr>
        <w:pStyle w:val="Author"/>
      </w:pPr>
      <w:r>
        <w:t xml:space="preserve">Author: </w:t>
      </w:r>
      <w:r w:rsidR="00534809">
        <w:t>Andy Hevey</w:t>
      </w:r>
    </w:p>
    <w:p w:rsidR="00A317A9" w:rsidP="00337321" w14:paraId="1110DF7F" w14:textId="77777777">
      <w:pPr>
        <w:pStyle w:val="Author"/>
      </w:pPr>
    </w:p>
    <w:p w:rsidR="00F51B33" w:rsidP="00337321" w14:paraId="4F5ABC10" w14:textId="77777777">
      <w:pPr>
        <w:pStyle w:val="Author"/>
      </w:pPr>
    </w:p>
    <w:p w:rsidR="00202DE3" w:rsidP="00337321" w14:paraId="5533DAC9" w14:textId="77777777">
      <w:pPr>
        <w:pStyle w:val="Author"/>
      </w:pPr>
    </w:p>
    <w:p w:rsidR="00202DE3" w:rsidP="00337321" w14:paraId="326F5B7C" w14:textId="77777777">
      <w:pPr>
        <w:pStyle w:val="Author"/>
      </w:pPr>
    </w:p>
    <w:p w:rsidR="00202DE3" w:rsidP="00337321" w14:paraId="54B37D53" w14:textId="77777777">
      <w:pPr>
        <w:pStyle w:val="Author"/>
      </w:pPr>
    </w:p>
    <w:p w:rsidR="00202DE3" w:rsidRPr="00B62597" w:rsidP="00337321" w14:paraId="7E376BDE" w14:textId="77777777">
      <w:pPr>
        <w:pStyle w:val="Author"/>
      </w:pPr>
    </w:p>
    <w:p w:rsidR="00B62597" w:rsidRPr="00B62597" w:rsidP="00DB29E9" w14:paraId="66EDA31A" w14:textId="77777777">
      <w:pPr>
        <w:pStyle w:val="DisclaimerHeading"/>
      </w:pPr>
      <w:r>
        <w:t>Anti</w:t>
      </w:r>
      <w:r w:rsidRPr="00B62597">
        <w:t>trust:</w:t>
      </w:r>
    </w:p>
    <w:p w:rsidR="00B62597" w:rsidRPr="00B62597" w:rsidP="00491490" w14:paraId="45970EDC"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805F85" w:rsidRPr="00B62597" w:rsidP="00805F85" w14:paraId="4F21F5C6" w14:textId="77777777">
      <w:pPr>
        <w:pStyle w:val="DisclaimerHeading"/>
        <w:spacing w:before="240"/>
      </w:pPr>
      <w:r w:rsidRPr="00B62597">
        <w:t>Code of Conduct:</w:t>
      </w:r>
    </w:p>
    <w:p w:rsidR="00805F85" w:rsidRPr="00B62597" w:rsidP="00805F85" w14:paraId="64DE7D53"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5" w:history="1">
        <w:r w:rsidRPr="00FA5955">
          <w:rPr>
            <w:rStyle w:val="Hyperlink"/>
          </w:rPr>
          <w:t>PJM Code of Conduct</w:t>
        </w:r>
      </w:hyperlink>
      <w:r w:rsidRPr="00FA5955">
        <w:t>.</w:t>
      </w:r>
    </w:p>
    <w:p w:rsidR="00805F85" w:rsidRPr="00B62597" w:rsidP="00337321" w14:paraId="467AD589" w14:textId="77777777">
      <w:pPr>
        <w:pStyle w:val="DisclosureBody"/>
      </w:pPr>
    </w:p>
    <w:p w:rsidR="00B62597" w:rsidRPr="00B62597" w:rsidP="00B62597" w14:paraId="715EB053" w14:textId="77777777">
      <w:pPr>
        <w:spacing w:after="0" w:line="240" w:lineRule="auto"/>
        <w:rPr>
          <w:rFonts w:ascii="Arial Narrow" w:eastAsia="Times New Roman" w:hAnsi="Arial Narrow" w:cs="Times New Roman"/>
          <w:sz w:val="18"/>
          <w:szCs w:val="18"/>
        </w:rPr>
      </w:pPr>
    </w:p>
    <w:p w:rsidR="00B62597" w:rsidRPr="00B62597" w:rsidP="00337321" w14:paraId="589F4BE6" w14:textId="77777777">
      <w:pPr>
        <w:pStyle w:val="DisclosureTitle"/>
      </w:pPr>
      <w:r w:rsidRPr="00B62597">
        <w:t xml:space="preserve">Public Meetings/Media Participation: </w:t>
      </w:r>
    </w:p>
    <w:p w:rsidR="00DE34CF" w:rsidP="00337321" w14:paraId="722F982F"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6EE36EA" w14:textId="77777777">
      <w:pPr>
        <w:pStyle w:val="DisclaimerHeading"/>
        <w:spacing w:before="240"/>
      </w:pPr>
      <w:r>
        <w:t xml:space="preserve">Participant Identification in </w:t>
      </w:r>
      <w:r w:rsidR="00711249">
        <w:t>Webex</w:t>
      </w:r>
      <w:r>
        <w:t>:</w:t>
      </w:r>
    </w:p>
    <w:p w:rsidR="00027F49" w:rsidP="00027F49" w14:paraId="1BBD81F5"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502F4A67"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P="00027F49" w14:paraId="41462650" w14:textId="77777777">
      <w:pPr>
        <w:pStyle w:val="DisclaimerBodyCopy"/>
      </w:pPr>
    </w:p>
    <w:p w:rsidR="00D2316E" w:rsidP="00D2316E" w14:paraId="3B389D2F" w14:textId="77777777">
      <w:pPr>
        <w:pStyle w:val="DisclaimerHeading"/>
      </w:pPr>
      <w:r>
        <w:rPr>
          <w:rStyle w:val="Strong"/>
        </w:rPr>
        <w:t>Participant Use of Webex Chat:</w:t>
      </w:r>
    </w:p>
    <w:p w:rsidR="00D2316E" w:rsidP="00D2316E" w14:paraId="05F2F0EA" w14:textId="77777777">
      <w:pPr>
        <w:pStyle w:val="DisclaimerBodyCopy"/>
      </w:pPr>
      <w:r>
        <w:t xml:space="preserve">The use of the Webex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5410F681" w14:textId="77777777">
      <w:pPr>
        <w:pStyle w:val="DisclaimerBodyCopy"/>
      </w:pPr>
    </w:p>
    <w:p w:rsidR="00027F49" w:rsidP="00027F49" w14:paraId="29CDA73B" w14:textId="77777777">
      <w:pPr>
        <w:pStyle w:val="DisclosureBody"/>
      </w:pPr>
    </w:p>
    <w:p w:rsidR="00027F49" w:rsidP="00027F49" w14:paraId="51953948"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P="00027F49" w14:paraId="64C3577F" w14:textId="77777777">
      <w:pPr>
        <w:pStyle w:val="DisclaimerHeading"/>
      </w:pPr>
    </w:p>
    <w:p w:rsidR="00027F49" w:rsidRPr="009C15C4" w:rsidP="00027F49" w14:paraId="350082E5"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9C15C4" w:rsidRPr="009C15C4" w:rsidP="009C15C4" w14:paraId="6FAA6A46" w14:textId="77777777"/>
    <w:p w:rsidR="0057441E" w:rsidRPr="009C15C4" w:rsidP="009C15C4" w14:paraId="77BBEC8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F3A38C9"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3E00D3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40BA49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7A68564B" w14:textId="67B1E926">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33D68">
      <w:rPr>
        <w:rStyle w:val="PageNumber"/>
        <w:noProof/>
      </w:rPr>
      <w:t>2</w:t>
    </w:r>
    <w:r>
      <w:rPr>
        <w:rStyle w:val="PageNumber"/>
      </w:rPr>
      <w:fldChar w:fldCharType="end"/>
    </w:r>
  </w:p>
  <w:bookmarkStart w:id="2" w:name="OLE_LINK1"/>
  <w:p w:rsidR="00847601" w:rsidRPr="001678E8" w14:paraId="0FC37921" w14:textId="0782008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E95E10">
      <w:rPr>
        <w:rFonts w:ascii="Arial Narrow" w:hAnsi="Arial Narrow"/>
        <w:sz w:val="20"/>
      </w:rPr>
      <w:t>5</w:t>
    </w:r>
    <w:r w:rsidR="00991528">
      <w:rPr>
        <w:rFonts w:ascii="Arial Narrow" w:hAnsi="Arial Narrow"/>
        <w:sz w:val="20"/>
      </w:rPr>
      <w:tab/>
    </w:r>
    <w:r>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2A83475F" w14:textId="2FD126C8">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D819B7"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202DE3">
      <w:t>October 23</w:t>
    </w:r>
    <w:r w:rsidR="00E95E10">
      <w:t>, 2025</w:t>
    </w:r>
    <w:r w:rsidR="00A56D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11926"/>
    <w:multiLevelType w:val="hybridMultilevel"/>
    <w:tmpl w:val="D2885FE8"/>
    <w:lvl w:ilvl="0">
      <w:start w:val="1"/>
      <w:numFmt w:val="decimal"/>
      <w:lvlText w:val="%1."/>
      <w:lvlJc w:val="left"/>
      <w:pPr>
        <w:ind w:left="720" w:hanging="360"/>
      </w:pPr>
      <w:rPr>
        <w:rFonts w:ascii="Arial Narrow" w:hAnsi="Arial Narrow"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74275A"/>
    <w:multiLevelType w:val="hybridMultilevel"/>
    <w:tmpl w:val="D12402B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0395BF3"/>
    <w:multiLevelType w:val="hybridMultilevel"/>
    <w:tmpl w:val="DC1CC252"/>
    <w:lvl w:ilvl="0">
      <w:start w:val="1"/>
      <w:numFmt w:val="decimal"/>
      <w:lvlText w:val="%1."/>
      <w:lvlJc w:val="left"/>
      <w:pPr>
        <w:ind w:left="360" w:hanging="360"/>
      </w:pPr>
      <w:rPr>
        <w:rFonts w:ascii="Arial Narrow" w:hAnsi="Arial Narrow" w:hint="default"/>
        <w:b w:val="0"/>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8115830"/>
    <w:multiLevelType w:val="hybridMultilevel"/>
    <w:tmpl w:val="BE16E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E22510"/>
    <w:multiLevelType w:val="hybridMultilevel"/>
    <w:tmpl w:val="017C429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59D0E50"/>
    <w:multiLevelType w:val="hybridMultilevel"/>
    <w:tmpl w:val="7A06BD0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792EAB"/>
    <w:multiLevelType w:val="hybridMultilevel"/>
    <w:tmpl w:val="D012D1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0"/>
  </w:num>
  <w:num w:numId="11">
    <w:abstractNumId w:val="5"/>
  </w:num>
  <w:num w:numId="12">
    <w:abstractNumId w:val="2"/>
  </w:num>
  <w:num w:numId="13">
    <w:abstractNumId w:val="7"/>
  </w:num>
  <w:num w:numId="14">
    <w:abstractNumId w:val="1"/>
  </w:num>
  <w:num w:numId="15">
    <w:abstractNumId w:val="5"/>
  </w:num>
  <w:num w:numId="16">
    <w:abstractNumId w:val="8"/>
  </w:num>
  <w:num w:numId="17">
    <w:abstractNumId w:val="5"/>
  </w:num>
  <w:num w:numId="18">
    <w:abstractNumId w:val="8"/>
  </w:num>
  <w:num w:numId="19">
    <w:abstractNumId w:val="9"/>
  </w:num>
  <w:num w:numId="20">
    <w:abstractNumId w:val="3"/>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01"/>
    <w:rsid w:val="00010057"/>
    <w:rsid w:val="000232DF"/>
    <w:rsid w:val="00023EB8"/>
    <w:rsid w:val="00027F49"/>
    <w:rsid w:val="000333FF"/>
    <w:rsid w:val="0006798D"/>
    <w:rsid w:val="00092135"/>
    <w:rsid w:val="000E5A84"/>
    <w:rsid w:val="001005C7"/>
    <w:rsid w:val="0011422A"/>
    <w:rsid w:val="00117AF9"/>
    <w:rsid w:val="00121F58"/>
    <w:rsid w:val="00150415"/>
    <w:rsid w:val="001678E8"/>
    <w:rsid w:val="00170E02"/>
    <w:rsid w:val="001B2242"/>
    <w:rsid w:val="001C0CC0"/>
    <w:rsid w:val="001D3B68"/>
    <w:rsid w:val="001E474A"/>
    <w:rsid w:val="00202DE3"/>
    <w:rsid w:val="002113BD"/>
    <w:rsid w:val="00230944"/>
    <w:rsid w:val="00237312"/>
    <w:rsid w:val="0025139E"/>
    <w:rsid w:val="002B2F98"/>
    <w:rsid w:val="002C6057"/>
    <w:rsid w:val="002D2017"/>
    <w:rsid w:val="002F742E"/>
    <w:rsid w:val="0030164E"/>
    <w:rsid w:val="00303751"/>
    <w:rsid w:val="00305238"/>
    <w:rsid w:val="00317419"/>
    <w:rsid w:val="003251CE"/>
    <w:rsid w:val="00333D68"/>
    <w:rsid w:val="00337321"/>
    <w:rsid w:val="00394850"/>
    <w:rsid w:val="003B55E1"/>
    <w:rsid w:val="003C17E2"/>
    <w:rsid w:val="003C3320"/>
    <w:rsid w:val="003D7E5C"/>
    <w:rsid w:val="003E7A73"/>
    <w:rsid w:val="0041109D"/>
    <w:rsid w:val="00435F2D"/>
    <w:rsid w:val="004366FE"/>
    <w:rsid w:val="00454CCD"/>
    <w:rsid w:val="0046043F"/>
    <w:rsid w:val="00491490"/>
    <w:rsid w:val="00494494"/>
    <w:rsid w:val="004969FA"/>
    <w:rsid w:val="004B252B"/>
    <w:rsid w:val="00527104"/>
    <w:rsid w:val="00531C19"/>
    <w:rsid w:val="00534809"/>
    <w:rsid w:val="00564DEE"/>
    <w:rsid w:val="0057441E"/>
    <w:rsid w:val="005A5D0D"/>
    <w:rsid w:val="005B25BC"/>
    <w:rsid w:val="005D6D05"/>
    <w:rsid w:val="005E2FB6"/>
    <w:rsid w:val="0060141A"/>
    <w:rsid w:val="006024A0"/>
    <w:rsid w:val="00602967"/>
    <w:rsid w:val="00606F11"/>
    <w:rsid w:val="00646E3C"/>
    <w:rsid w:val="006C738F"/>
    <w:rsid w:val="006F7A52"/>
    <w:rsid w:val="00711249"/>
    <w:rsid w:val="00712CAA"/>
    <w:rsid w:val="00716A8B"/>
    <w:rsid w:val="00730F76"/>
    <w:rsid w:val="00744A45"/>
    <w:rsid w:val="0075340F"/>
    <w:rsid w:val="00754C6D"/>
    <w:rsid w:val="00755096"/>
    <w:rsid w:val="0075744C"/>
    <w:rsid w:val="007703B4"/>
    <w:rsid w:val="00777623"/>
    <w:rsid w:val="007A34A3"/>
    <w:rsid w:val="007C2954"/>
    <w:rsid w:val="007D4F70"/>
    <w:rsid w:val="007E7CAB"/>
    <w:rsid w:val="00805F85"/>
    <w:rsid w:val="0083096F"/>
    <w:rsid w:val="00837B12"/>
    <w:rsid w:val="00841282"/>
    <w:rsid w:val="00847601"/>
    <w:rsid w:val="008552A3"/>
    <w:rsid w:val="00882652"/>
    <w:rsid w:val="00914FFA"/>
    <w:rsid w:val="00917386"/>
    <w:rsid w:val="0097702E"/>
    <w:rsid w:val="00991528"/>
    <w:rsid w:val="009A5430"/>
    <w:rsid w:val="009C15C4"/>
    <w:rsid w:val="009D69FB"/>
    <w:rsid w:val="009F53F9"/>
    <w:rsid w:val="00A05391"/>
    <w:rsid w:val="00A317A9"/>
    <w:rsid w:val="00A41149"/>
    <w:rsid w:val="00A56D57"/>
    <w:rsid w:val="00A83B01"/>
    <w:rsid w:val="00A931C3"/>
    <w:rsid w:val="00AA6C34"/>
    <w:rsid w:val="00AB5A32"/>
    <w:rsid w:val="00AC2247"/>
    <w:rsid w:val="00AE4DCC"/>
    <w:rsid w:val="00B010AD"/>
    <w:rsid w:val="00B16D95"/>
    <w:rsid w:val="00B20316"/>
    <w:rsid w:val="00B34E3C"/>
    <w:rsid w:val="00B62597"/>
    <w:rsid w:val="00BA6146"/>
    <w:rsid w:val="00BB531B"/>
    <w:rsid w:val="00BB6921"/>
    <w:rsid w:val="00BD774B"/>
    <w:rsid w:val="00BF331B"/>
    <w:rsid w:val="00C064BB"/>
    <w:rsid w:val="00C10A93"/>
    <w:rsid w:val="00C439EC"/>
    <w:rsid w:val="00C5307B"/>
    <w:rsid w:val="00C562B9"/>
    <w:rsid w:val="00C72168"/>
    <w:rsid w:val="00C757F4"/>
    <w:rsid w:val="00C75A9D"/>
    <w:rsid w:val="00CA49B9"/>
    <w:rsid w:val="00CB19DE"/>
    <w:rsid w:val="00CB475B"/>
    <w:rsid w:val="00CC1B47"/>
    <w:rsid w:val="00CF2AD8"/>
    <w:rsid w:val="00D05CAA"/>
    <w:rsid w:val="00D06EC8"/>
    <w:rsid w:val="00D136EA"/>
    <w:rsid w:val="00D137BD"/>
    <w:rsid w:val="00D2316E"/>
    <w:rsid w:val="00D251ED"/>
    <w:rsid w:val="00D831E4"/>
    <w:rsid w:val="00D95949"/>
    <w:rsid w:val="00DA23DE"/>
    <w:rsid w:val="00DA4EBF"/>
    <w:rsid w:val="00DB29E9"/>
    <w:rsid w:val="00DE34CF"/>
    <w:rsid w:val="00DF1112"/>
    <w:rsid w:val="00E1605D"/>
    <w:rsid w:val="00E32B6B"/>
    <w:rsid w:val="00E4677A"/>
    <w:rsid w:val="00E5387A"/>
    <w:rsid w:val="00E55E84"/>
    <w:rsid w:val="00E95E10"/>
    <w:rsid w:val="00EB68B0"/>
    <w:rsid w:val="00F051DC"/>
    <w:rsid w:val="00F4190F"/>
    <w:rsid w:val="00F5077C"/>
    <w:rsid w:val="00F51B33"/>
    <w:rsid w:val="00FA5955"/>
    <w:rsid w:val="00FA61ED"/>
    <w:rsid w:val="00FB1739"/>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1DD9CE"/>
  <w15:docId w15:val="{91D266BC-F47A-49A1-92F4-7E29BA9D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09D"/>
    <w:pPr>
      <w:spacing w:after="0" w:line="240" w:lineRule="auto"/>
      <w:ind w:left="720"/>
    </w:pPr>
    <w:rPr>
      <w:rFonts w:ascii="Calibri" w:hAnsi="Calibri" w:cs="Calibri"/>
    </w:rPr>
  </w:style>
  <w:style w:type="paragraph" w:customStyle="1" w:styleId="event-address">
    <w:name w:val="event-address"/>
    <w:basedOn w:val="Normal"/>
    <w:rsid w:val="00D13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s://www.pjm.com/about-pjm/who-we-are/code-of-conduct"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onem\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