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pPr>
        <w:pStyle w:val="MeetingDetails"/>
      </w:pPr>
      <w:r>
        <w:t>Market Settlements Subcommittee</w:t>
      </w:r>
    </w:p>
    <w:p w:rsidR="00B62597" w:rsidRPr="00B62597" w:rsidP="00755096">
      <w:pPr>
        <w:pStyle w:val="MeetingDetails"/>
      </w:pPr>
      <w:r>
        <w:t>Conference Call</w:t>
      </w:r>
    </w:p>
    <w:p w:rsidR="00B62597" w:rsidRPr="00B62597" w:rsidP="00755096">
      <w:pPr>
        <w:pStyle w:val="MeetingDetails"/>
      </w:pPr>
      <w:r>
        <w:t xml:space="preserve">August </w:t>
      </w:r>
      <w:r w:rsidR="006E7B6B">
        <w:t>1</w:t>
      </w:r>
      <w:r>
        <w:t>6</w:t>
      </w:r>
      <w:r w:rsidR="00837E78">
        <w:t>,</w:t>
      </w:r>
      <w:r w:rsidR="002B2F98">
        <w:t xml:space="preserve"> </w:t>
      </w:r>
      <w:r w:rsidR="00F0153F">
        <w:t>2022</w:t>
      </w:r>
    </w:p>
    <w:p w:rsidR="00B62597" w:rsidRPr="00B62597" w:rsidP="00453611">
      <w:pPr>
        <w:pStyle w:val="MeetingDetails"/>
        <w:tabs>
          <w:tab w:val="left" w:pos="4155"/>
        </w:tabs>
        <w:rPr>
          <w:sz w:val="28"/>
          <w:u w:val="single"/>
        </w:rPr>
      </w:pPr>
      <w:r>
        <w:t>1</w:t>
      </w:r>
      <w:r w:rsidR="00DF003D">
        <w:t>0</w:t>
      </w:r>
      <w:r w:rsidR="003C12B2">
        <w:t>:00</w:t>
      </w:r>
      <w:r w:rsidR="002B2F98">
        <w:t xml:space="preserve"> </w:t>
      </w:r>
      <w:r w:rsidR="00DF003D">
        <w:t>a</w:t>
      </w:r>
      <w:r w:rsidR="002B2F98">
        <w:t xml:space="preserve">.m. – </w:t>
      </w:r>
      <w:r w:rsidR="00CF313E">
        <w:t>12</w:t>
      </w:r>
      <w:r w:rsidR="00FD14A5">
        <w:t>:</w:t>
      </w:r>
      <w:r w:rsidR="00F0153F">
        <w:t>0</w:t>
      </w:r>
      <w:r w:rsidR="00DF003D">
        <w:t>0</w:t>
      </w:r>
      <w:r w:rsidR="00010057">
        <w:t xml:space="preserve"> </w:t>
      </w:r>
      <w:r w:rsidR="00CF313E">
        <w:t>p</w:t>
      </w:r>
      <w:r w:rsidR="00755096">
        <w:t>.m.</w:t>
      </w:r>
      <w:r w:rsidR="00010057">
        <w:t xml:space="preserve"> EPT</w:t>
      </w:r>
      <w:r w:rsidR="00453611">
        <w:tab/>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8212BD">
        <w:t>1</w:t>
      </w:r>
      <w:r w:rsidR="00DF003D">
        <w:t>0</w:t>
      </w:r>
      <w:r w:rsidR="00E507AE">
        <w:t>:00</w:t>
      </w:r>
      <w:r w:rsidR="00FC4406">
        <w:t xml:space="preserve"> – </w:t>
      </w:r>
      <w:r w:rsidR="008212BD">
        <w:t>1</w:t>
      </w:r>
      <w:r w:rsidR="00DF003D">
        <w:t>0</w:t>
      </w:r>
      <w:r w:rsidR="003442E8">
        <w:t>:</w:t>
      </w:r>
      <w:r w:rsidR="003C12B2">
        <w:t>10</w:t>
      </w:r>
      <w:r w:rsidRPr="00527104">
        <w:t>)</w:t>
      </w:r>
    </w:p>
    <w:bookmarkEnd w:id="0"/>
    <w:bookmarkEnd w:id="1"/>
    <w:p w:rsidR="00E507AE" w:rsidRPr="00042CA7" w:rsidP="0035641C">
      <w:pPr>
        <w:pStyle w:val="SecondaryHeading-Numbered"/>
        <w:numPr>
          <w:ilvl w:val="0"/>
          <w:numId w:val="0"/>
        </w:numPr>
      </w:pPr>
      <w:r>
        <w:rPr>
          <w:b w:val="0"/>
        </w:rPr>
        <w:t>Welcome, r</w:t>
      </w:r>
      <w:r w:rsidRPr="00042CA7">
        <w:rPr>
          <w:b w:val="0"/>
        </w:rPr>
        <w:t xml:space="preserve">eview of Anti-Trust Policy, Code of Conduct, </w:t>
      </w:r>
      <w:r w:rsidR="00BA7ADD">
        <w:rPr>
          <w:b w:val="0"/>
        </w:rPr>
        <w:t>Public Meetings/</w:t>
      </w:r>
      <w:r w:rsidRPr="00042CA7">
        <w:rPr>
          <w:b w:val="0"/>
        </w:rPr>
        <w:t xml:space="preserve">Media Participation </w:t>
      </w:r>
      <w:r w:rsidR="00BA7ADD">
        <w:rPr>
          <w:b w:val="0"/>
        </w:rPr>
        <w:t xml:space="preserve">and Participant Identification guidelines, </w:t>
      </w:r>
      <w:r w:rsidRPr="00042CA7">
        <w:rPr>
          <w:b w:val="0"/>
        </w:rPr>
        <w:t>and roll call</w:t>
      </w:r>
      <w:r>
        <w:rPr>
          <w:b w:val="0"/>
        </w:rPr>
        <w:t>.</w:t>
      </w:r>
    </w:p>
    <w:p w:rsidR="00E507AE" w:rsidP="00E507AE">
      <w:pPr>
        <w:pStyle w:val="SecondaryHeading-Numbered"/>
        <w:numPr>
          <w:ilvl w:val="0"/>
          <w:numId w:val="0"/>
        </w:numPr>
        <w:ind w:left="360" w:hanging="360"/>
        <w:rPr>
          <w:b w:val="0"/>
        </w:rPr>
      </w:pPr>
      <w:r w:rsidRPr="00042CA7">
        <w:rPr>
          <w:b w:val="0"/>
        </w:rPr>
        <w:t xml:space="preserve">Approval of Agenda and the </w:t>
      </w:r>
      <w:r w:rsidR="005051BB">
        <w:rPr>
          <w:b w:val="0"/>
        </w:rPr>
        <w:t>July 11</w:t>
      </w:r>
      <w:r w:rsidR="0070472F">
        <w:rPr>
          <w:b w:val="0"/>
        </w:rPr>
        <w:t>, 2022</w:t>
      </w:r>
      <w:r w:rsidRPr="00042CA7">
        <w:rPr>
          <w:b w:val="0"/>
        </w:rPr>
        <w:t xml:space="preserve"> draft MSS minutes</w:t>
      </w:r>
      <w:r>
        <w:rPr>
          <w:b w:val="0"/>
        </w:rPr>
        <w:t>.</w:t>
      </w:r>
    </w:p>
    <w:p w:rsidR="001D3B68" w:rsidRPr="00DB29E9" w:rsidP="007C2954">
      <w:pPr>
        <w:pStyle w:val="PrimaryHeading"/>
      </w:pPr>
      <w:r>
        <w:t>Working Issues (</w:t>
      </w:r>
      <w:r w:rsidR="008212BD">
        <w:t>1</w:t>
      </w:r>
      <w:r w:rsidR="00DF003D">
        <w:t>0</w:t>
      </w:r>
      <w:r w:rsidR="007A2201">
        <w:t xml:space="preserve">:10 – </w:t>
      </w:r>
      <w:r w:rsidR="00DF003D">
        <w:t>11</w:t>
      </w:r>
      <w:r w:rsidR="007A2201">
        <w:t>:00</w:t>
      </w:r>
      <w:r>
        <w:t>)</w:t>
      </w:r>
    </w:p>
    <w:p w:rsidR="00D83905" w:rsidRPr="00C767C6" w:rsidP="00E82F42">
      <w:pPr>
        <w:pStyle w:val="ListSubhead1"/>
        <w:numPr>
          <w:ilvl w:val="0"/>
          <w:numId w:val="0"/>
        </w:numPr>
        <w:ind w:left="360" w:hanging="360"/>
      </w:pPr>
      <w:r>
        <w:t>1</w:t>
      </w:r>
      <w:r w:rsidRPr="008D4BFC">
        <w:t>.</w:t>
      </w:r>
      <w:r>
        <w:rPr>
          <w:b w:val="0"/>
        </w:rPr>
        <w:tab/>
      </w:r>
      <w:r w:rsidR="005051BB">
        <w:t xml:space="preserve">Network Integration Transmission Service (NITS) Revenue Requirements &amp; Rates posting discussion </w:t>
      </w:r>
      <w:r w:rsidR="00EB0D01">
        <w:t>(1</w:t>
      </w:r>
      <w:r w:rsidR="00DF003D">
        <w:t>0</w:t>
      </w:r>
      <w:r w:rsidR="00EB0D01">
        <w:t>:10 – 1</w:t>
      </w:r>
      <w:r w:rsidR="00DF003D">
        <w:t>0</w:t>
      </w:r>
      <w:r w:rsidR="005051BB">
        <w:t>:2</w:t>
      </w:r>
      <w:r>
        <w:t>0</w:t>
      </w:r>
      <w:r w:rsidR="00382A30">
        <w:t>)</w:t>
      </w:r>
    </w:p>
    <w:p w:rsidR="000E78CC" w:rsidP="005051BB">
      <w:pPr>
        <w:pStyle w:val="ListSubhead1"/>
        <w:numPr>
          <w:ilvl w:val="0"/>
          <w:numId w:val="0"/>
        </w:numPr>
        <w:ind w:left="360" w:hanging="360"/>
        <w:rPr>
          <w:b w:val="0"/>
        </w:rPr>
      </w:pPr>
      <w:r>
        <w:rPr>
          <w:b w:val="0"/>
        </w:rPr>
        <w:tab/>
      </w:r>
      <w:r w:rsidR="008E37F7">
        <w:rPr>
          <w:b w:val="0"/>
        </w:rPr>
        <w:t>Faith Daley</w:t>
      </w:r>
      <w:r w:rsidR="005051BB">
        <w:rPr>
          <w:b w:val="0"/>
        </w:rPr>
        <w:t>, PJM, will review changes to the NITS Revenue Requirements &amp; Rates posting that occurred in June 2022 and additional upcoming changes to the posting.  Potential impacts of future changes will also be discussed.</w:t>
      </w:r>
    </w:p>
    <w:p w:rsidR="005051BB" w:rsidP="005051BB">
      <w:pPr>
        <w:pStyle w:val="ListSubhead1"/>
        <w:numPr>
          <w:ilvl w:val="0"/>
          <w:numId w:val="0"/>
        </w:numPr>
        <w:ind w:left="360" w:hanging="360"/>
      </w:pPr>
      <w:r w:rsidRPr="005051BB">
        <w:t xml:space="preserve">2. </w:t>
      </w:r>
      <w:r>
        <w:t xml:space="preserve">   Reserve Price Formation: MSRS Report updates (10:20 – 10:40)</w:t>
      </w:r>
    </w:p>
    <w:p w:rsidR="005051BB" w:rsidP="005051BB">
      <w:pPr>
        <w:pStyle w:val="ListSubhead1"/>
        <w:numPr>
          <w:ilvl w:val="0"/>
          <w:numId w:val="0"/>
        </w:numPr>
        <w:ind w:left="360" w:hanging="360"/>
        <w:rPr>
          <w:b w:val="0"/>
        </w:rPr>
      </w:pPr>
      <w:r>
        <w:tab/>
      </w:r>
      <w:r>
        <w:rPr>
          <w:b w:val="0"/>
        </w:rPr>
        <w:t>Sean Flamm, PJM, will review new and updated detailed MSRS report designs related to Reserve Price Formation updates.</w:t>
      </w:r>
    </w:p>
    <w:p w:rsidR="005051BB" w:rsidRPr="005051BB" w:rsidP="005051BB">
      <w:pPr>
        <w:pStyle w:val="ListSubhead1"/>
        <w:numPr>
          <w:ilvl w:val="0"/>
          <w:numId w:val="0"/>
        </w:numPr>
        <w:ind w:left="360" w:hanging="360"/>
      </w:pPr>
      <w:r w:rsidRPr="005051BB">
        <w:t>3.   Reserve Price Formation: FERC EQR updates</w:t>
      </w:r>
      <w:r>
        <w:t xml:space="preserve"> (10:40 – 10:50)</w:t>
      </w:r>
    </w:p>
    <w:p w:rsidR="005051BB" w:rsidP="005051BB">
      <w:pPr>
        <w:pStyle w:val="ListSubhead1"/>
        <w:numPr>
          <w:ilvl w:val="0"/>
          <w:numId w:val="0"/>
        </w:numPr>
        <w:ind w:left="360"/>
        <w:rPr>
          <w:b w:val="0"/>
        </w:rPr>
      </w:pPr>
      <w:r>
        <w:rPr>
          <w:b w:val="0"/>
        </w:rPr>
        <w:t>Sean Flamm will review updates to PJM’s FERC EQR related to Reserve Price Formation.</w:t>
      </w:r>
    </w:p>
    <w:p w:rsidR="005051BB" w:rsidP="005051BB">
      <w:pPr>
        <w:pStyle w:val="ListSubhead1"/>
        <w:numPr>
          <w:ilvl w:val="0"/>
          <w:numId w:val="0"/>
        </w:numPr>
      </w:pPr>
      <w:r w:rsidRPr="005051BB">
        <w:t xml:space="preserve">4.   </w:t>
      </w:r>
      <w:r w:rsidR="00CF313E">
        <w:t>Reserve Price Formation: Manual</w:t>
      </w:r>
      <w:r>
        <w:t xml:space="preserve"> updates over</w:t>
      </w:r>
      <w:r w:rsidRPr="005051BB">
        <w:t>view</w:t>
      </w:r>
      <w:r>
        <w:t xml:space="preserve"> (10:50 – 11:00)</w:t>
      </w:r>
    </w:p>
    <w:p w:rsidR="005051BB" w:rsidRPr="005051BB" w:rsidP="00CF313E">
      <w:pPr>
        <w:pStyle w:val="ListSubhead1"/>
        <w:numPr>
          <w:ilvl w:val="0"/>
          <w:numId w:val="0"/>
        </w:numPr>
        <w:tabs>
          <w:tab w:val="clear" w:pos="0"/>
          <w:tab w:val="left" w:pos="90"/>
        </w:tabs>
        <w:ind w:left="360"/>
        <w:rPr>
          <w:b w:val="0"/>
        </w:rPr>
      </w:pPr>
      <w:r>
        <w:rPr>
          <w:b w:val="0"/>
        </w:rPr>
        <w:t xml:space="preserve">Rebecca Stadelmeyer will provide an overview of updates to </w:t>
      </w:r>
      <w:r w:rsidR="00CF313E">
        <w:rPr>
          <w:b w:val="0"/>
        </w:rPr>
        <w:t>settlements manuals related to Reserve   Price Formation updates.</w:t>
      </w:r>
    </w:p>
    <w:p w:rsidR="00F7443D" w:rsidRPr="00DB29E9" w:rsidP="00F7443D">
      <w:pPr>
        <w:pStyle w:val="PrimaryHeading"/>
      </w:pPr>
      <w:r>
        <w:t>Informational Updates</w:t>
      </w:r>
    </w:p>
    <w:p w:rsidR="00454C0D" w:rsidRPr="00454C0D" w:rsidP="00454C0D">
      <w:pPr>
        <w:pStyle w:val="ListParagraph"/>
        <w:numPr>
          <w:ilvl w:val="0"/>
          <w:numId w:val="20"/>
        </w:numPr>
        <w:rPr>
          <w:rFonts w:ascii="Arial Narrow" w:hAnsi="Arial Narrow" w:cs="Calibri"/>
          <w:b/>
        </w:rPr>
      </w:pPr>
      <w:r w:rsidRPr="00454C0D">
        <w:rPr>
          <w:rFonts w:ascii="Arial Narrow" w:hAnsi="Arial Narrow" w:cs="Calibri"/>
          <w:b/>
        </w:rPr>
        <w:t>Settlement C Updates</w:t>
      </w:r>
    </w:p>
    <w:p w:rsidR="00454C0D" w:rsidP="00454C0D">
      <w:pPr>
        <w:pStyle w:val="ListParagraph"/>
        <w:ind w:left="405"/>
        <w:rPr>
          <w:rFonts w:ascii="Arial Narrow" w:hAnsi="Arial Narrow" w:cs="Calibri"/>
        </w:rPr>
      </w:pPr>
      <w:r>
        <w:rPr>
          <w:rFonts w:ascii="Arial Narrow" w:hAnsi="Arial Narrow" w:cs="Calibri"/>
        </w:rPr>
        <w:t xml:space="preserve">One adjustment was processed for the </w:t>
      </w:r>
      <w:r w:rsidR="005051BB">
        <w:rPr>
          <w:rFonts w:ascii="Arial Narrow" w:hAnsi="Arial Narrow" w:cs="Calibri"/>
        </w:rPr>
        <w:t>DAY</w:t>
      </w:r>
      <w:r>
        <w:rPr>
          <w:rFonts w:ascii="Arial Narrow" w:hAnsi="Arial Narrow" w:cs="Calibri"/>
        </w:rPr>
        <w:t xml:space="preserve"> zone</w:t>
      </w:r>
      <w:r>
        <w:rPr>
          <w:rFonts w:ascii="Arial Narrow" w:hAnsi="Arial Narrow" w:cs="Calibri"/>
        </w:rPr>
        <w:t xml:space="preserve"> in the </w:t>
      </w:r>
      <w:r w:rsidR="005051BB">
        <w:rPr>
          <w:rFonts w:ascii="Arial Narrow" w:hAnsi="Arial Narrow" w:cs="Calibri"/>
        </w:rPr>
        <w:t>July</w:t>
      </w:r>
      <w:r>
        <w:rPr>
          <w:rFonts w:ascii="Arial Narrow" w:hAnsi="Arial Narrow" w:cs="Calibri"/>
        </w:rPr>
        <w:t xml:space="preserve"> 2022 billing cycle.  </w:t>
      </w:r>
    </w:p>
    <w:p w:rsidR="000E058A" w:rsidP="00454C0D">
      <w:pPr>
        <w:pStyle w:val="ListParagraph"/>
        <w:ind w:left="405"/>
        <w:rPr>
          <w:rFonts w:ascii="Arial Narrow" w:hAnsi="Arial Narrow" w:cs="Calibri"/>
        </w:rPr>
      </w:pPr>
    </w:p>
    <w:p w:rsidR="00892D21" w:rsidRPr="005051BB" w:rsidP="005051BB">
      <w:pPr>
        <w:pStyle w:val="ListParagraph"/>
        <w:ind w:left="405"/>
        <w:rPr>
          <w:rFonts w:ascii="Arial Narrow" w:hAnsi="Arial Narrow" w:cs="Calibri"/>
        </w:rPr>
      </w:pPr>
      <w:hyperlink r:id="rId4" w:history="1">
        <w:r w:rsidRPr="008F0469" w:rsidR="000E058A">
          <w:rPr>
            <w:rStyle w:val="Hyperlink"/>
            <w:rFonts w:ascii="Arial Narrow" w:hAnsi="Arial Narrow" w:cs="Calibri"/>
          </w:rPr>
          <w:t>Settlement C Adjustment Tracking</w:t>
        </w:r>
      </w:hyperlink>
      <w:r w:rsidRPr="00A220B3" w:rsidR="00236DEE">
        <w:rPr>
          <w:rFonts w:ascii="Arial Narrow" w:hAnsi="Arial Narrow" w:cs="Calibri"/>
        </w:rPr>
        <w:t xml:space="preserve"> </w:t>
      </w:r>
      <w:bookmarkStart w:id="2" w:name="_GoBack"/>
      <w:bookmarkEnd w:id="2"/>
    </w:p>
    <w:tbl>
      <w:tblPr>
        <w:tblStyle w:val="TableGrid"/>
        <w:tblW w:w="0" w:type="auto"/>
        <w:tblLook w:val="04A0"/>
      </w:tblPr>
      <w:tblGrid>
        <w:gridCol w:w="3115"/>
        <w:gridCol w:w="3110"/>
        <w:gridCol w:w="3125"/>
      </w:tblGrid>
      <w:tr w:rsidTr="00C307E9">
        <w:tblPrEx>
          <w:tblW w:w="0" w:type="auto"/>
          <w:tblLook w:val="04A0"/>
        </w:tblPrEx>
        <w:tc>
          <w:tcPr>
            <w:tcW w:w="9350" w:type="dxa"/>
            <w:gridSpan w:val="3"/>
            <w:tcBorders>
              <w:top w:val="nil"/>
              <w:left w:val="nil"/>
              <w:bottom w:val="nil"/>
              <w:right w:val="nil"/>
            </w:tcBorders>
          </w:tcPr>
          <w:p w:rsidR="00FC6630" w:rsidP="00FC6630">
            <w:pPr>
              <w:pStyle w:val="PrimaryHeading"/>
              <w:ind w:left="-108"/>
            </w:pPr>
            <w:r>
              <w:t>Future Agenda Items</w:t>
            </w:r>
          </w:p>
        </w:tc>
      </w:tr>
      <w:tr w:rsidTr="00C307E9">
        <w:tblPrEx>
          <w:tblW w:w="0" w:type="auto"/>
          <w:tblLook w:val="04A0"/>
        </w:tblPrEx>
        <w:trPr>
          <w:trHeight w:val="296"/>
        </w:trPr>
        <w:tc>
          <w:tcPr>
            <w:tcW w:w="9350" w:type="dxa"/>
            <w:gridSpan w:val="3"/>
            <w:tcBorders>
              <w:top w:val="nil"/>
              <w:left w:val="nil"/>
              <w:bottom w:val="nil"/>
              <w:right w:val="nil"/>
            </w:tcBorders>
          </w:tcPr>
          <w:p w:rsidR="00FC6630" w:rsidP="00FC6630">
            <w:pPr>
              <w:pStyle w:val="AttendeesList"/>
              <w:ind w:left="-105" w:hanging="45"/>
              <w:rPr>
                <w:rFonts w:cs="Calibri"/>
                <w:sz w:val="24"/>
                <w:szCs w:val="24"/>
              </w:rPr>
            </w:pPr>
            <w:r>
              <w:rPr>
                <w:rFonts w:cs="Calibri"/>
                <w:sz w:val="24"/>
                <w:szCs w:val="24"/>
              </w:rPr>
              <w:t xml:space="preserve"> </w:t>
            </w:r>
            <w:r w:rsidRPr="00F7443D">
              <w:rPr>
                <w:rFonts w:cs="Calibri"/>
                <w:sz w:val="24"/>
                <w:szCs w:val="24"/>
              </w:rPr>
              <w:t xml:space="preserve">Participants will have the opportunity to request the addition of any new item(s) to the agenda of a future </w:t>
            </w:r>
            <w:r>
              <w:rPr>
                <w:rFonts w:cs="Calibri"/>
                <w:sz w:val="24"/>
                <w:szCs w:val="24"/>
              </w:rPr>
              <w:t xml:space="preserve">                                             </w:t>
            </w:r>
            <w:r w:rsidRPr="00F7443D">
              <w:rPr>
                <w:rFonts w:cs="Calibri"/>
                <w:sz w:val="24"/>
                <w:szCs w:val="24"/>
              </w:rPr>
              <w:t>meeting.</w:t>
            </w:r>
          </w:p>
          <w:p w:rsidR="00F33DC8" w:rsidRPr="00F7443D" w:rsidP="00FC6630">
            <w:pPr>
              <w:pStyle w:val="AttendeesList"/>
              <w:rPr>
                <w:rFonts w:cs="Calibri"/>
                <w:sz w:val="24"/>
                <w:szCs w:val="24"/>
              </w:rPr>
            </w:pPr>
          </w:p>
        </w:tc>
      </w:tr>
      <w:tr w:rsidTr="00C307E9">
        <w:tblPrEx>
          <w:tblW w:w="0" w:type="auto"/>
          <w:tblLook w:val="04A0"/>
        </w:tblPrEx>
        <w:trPr>
          <w:trHeight w:val="87"/>
        </w:trPr>
        <w:tc>
          <w:tcPr>
            <w:tcW w:w="9350" w:type="dxa"/>
            <w:gridSpan w:val="3"/>
            <w:tcBorders>
              <w:top w:val="nil"/>
              <w:left w:val="nil"/>
              <w:bottom w:val="nil"/>
              <w:right w:val="nil"/>
            </w:tcBorders>
          </w:tcPr>
          <w:p w:rsidR="00FC6630" w:rsidP="00FC6630">
            <w:pPr>
              <w:pStyle w:val="PrimaryHeading"/>
              <w:ind w:left="-108"/>
            </w:pPr>
            <w:r>
              <w:t>Future Meeting Dates</w:t>
            </w:r>
          </w:p>
        </w:tc>
      </w:tr>
      <w:tr w:rsidTr="00C307E9">
        <w:tblPrEx>
          <w:tblW w:w="0" w:type="auto"/>
          <w:tblLook w:val="04A0"/>
        </w:tblPrEx>
        <w:tc>
          <w:tcPr>
            <w:tcW w:w="311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September 14, 2022</w:t>
            </w:r>
          </w:p>
        </w:tc>
        <w:tc>
          <w:tcPr>
            <w:tcW w:w="3110"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10:00 a.m. – 12:00 p.m.</w:t>
            </w:r>
          </w:p>
        </w:tc>
        <w:tc>
          <w:tcPr>
            <w:tcW w:w="312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C307E9">
        <w:tblPrEx>
          <w:tblW w:w="0" w:type="auto"/>
          <w:tblLook w:val="04A0"/>
        </w:tblPrEx>
        <w:tc>
          <w:tcPr>
            <w:tcW w:w="311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October 18, 2022</w:t>
            </w:r>
          </w:p>
        </w:tc>
        <w:tc>
          <w:tcPr>
            <w:tcW w:w="3110"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C307E9">
        <w:tblPrEx>
          <w:tblW w:w="0" w:type="auto"/>
          <w:tblLook w:val="04A0"/>
        </w:tblPrEx>
        <w:tc>
          <w:tcPr>
            <w:tcW w:w="311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November 18, 2022</w:t>
            </w:r>
          </w:p>
        </w:tc>
        <w:tc>
          <w:tcPr>
            <w:tcW w:w="3110"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10:00 a.m. – 12:00 p.m.</w:t>
            </w:r>
          </w:p>
        </w:tc>
        <w:tc>
          <w:tcPr>
            <w:tcW w:w="312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C307E9">
        <w:tblPrEx>
          <w:tblW w:w="0" w:type="auto"/>
          <w:tblLook w:val="04A0"/>
        </w:tblPrEx>
        <w:tc>
          <w:tcPr>
            <w:tcW w:w="311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December 13, 2022</w:t>
            </w:r>
          </w:p>
        </w:tc>
        <w:tc>
          <w:tcPr>
            <w:tcW w:w="3110"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Borders>
              <w:top w:val="nil"/>
              <w:left w:val="nil"/>
              <w:bottom w:val="nil"/>
              <w:right w:val="nil"/>
            </w:tcBorders>
          </w:tcPr>
          <w:p w:rsidR="00CD7076"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bl>
    <w:p w:rsidR="00726147" w:rsidP="00337321">
      <w:pPr>
        <w:pStyle w:val="Author"/>
      </w:pPr>
    </w:p>
    <w:p w:rsidR="00454C0D" w:rsidP="00337321">
      <w:pPr>
        <w:pStyle w:val="Author"/>
      </w:pPr>
    </w:p>
    <w:p w:rsidR="00726147" w:rsidP="00FC4406">
      <w:pPr>
        <w:pStyle w:val="Author"/>
      </w:pPr>
      <w:r>
        <w:t xml:space="preserve">Author: </w:t>
      </w:r>
      <w:r w:rsidR="006E4ECD">
        <w:t>Sean Flamm</w:t>
      </w:r>
    </w:p>
    <w:p w:rsidR="003C12B2" w:rsidP="00DB29E9">
      <w:pPr>
        <w:pStyle w:val="DisclaimerHeading"/>
      </w:pPr>
    </w:p>
    <w:p w:rsidR="00C307E9" w:rsidP="00DB29E9">
      <w:pPr>
        <w:pStyle w:val="DisclaimerHeading"/>
      </w:pPr>
    </w:p>
    <w:p w:rsidR="00C307E9" w:rsidP="00DB29E9">
      <w:pPr>
        <w:pStyle w:val="DisclaimerHeading"/>
      </w:pPr>
    </w:p>
    <w:p w:rsidR="00C307E9"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F0469">
      <w:rPr>
        <w:rStyle w:val="PageNumber"/>
        <w:noProof/>
      </w:rPr>
      <w:t>3</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F0153F">
      <w:rPr>
        <w:rFonts w:ascii="Arial Narrow" w:hAnsi="Arial Narrow"/>
        <w:sz w:val="20"/>
      </w:rPr>
      <w:t>22</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pPr>
      <w:pStyle w:val="PostingDate"/>
      <w:rPr>
        <w:sz w:val="16"/>
      </w:rPr>
    </w:pPr>
    <w:r w:rsidRPr="00F4190F">
      <w:rPr>
        <w:sz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1249" w:rsidR="00B66E13">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pPr>
                      <w:pStyle w:val="HeaderTitle"/>
                      <w:jc w:val="center"/>
                      <w:rPr>
                        <w:rFonts w:ascii="Arial Narrow" w:hAnsi="Arial Narrow"/>
                        <w:b/>
                      </w:rPr>
                    </w:pPr>
                    <w:r>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6EDB">
      <w:t xml:space="preserve">As of </w:t>
    </w:r>
    <w:r w:rsidR="006773A2">
      <w:t>August 11</w:t>
    </w:r>
    <w:r w:rsidR="00F0153F">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B0841A9"/>
    <w:multiLevelType w:val="hybridMultilevel"/>
    <w:tmpl w:val="717039BE"/>
    <w:lvl w:ilvl="0">
      <w:start w:val="1"/>
      <w:numFmt w:val="decimal"/>
      <w:lvlText w:val="%1."/>
      <w:lvlJc w:val="left"/>
      <w:pPr>
        <w:ind w:left="405" w:hanging="360"/>
      </w:pPr>
      <w:rPr>
        <w:rFonts w:hint="default"/>
        <w:b/>
        <w:color w:val="auto"/>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3"/>
  </w:num>
  <w:num w:numId="10">
    <w:abstractNumId w:val="0"/>
  </w:num>
  <w:num w:numId="11">
    <w:abstractNumId w:val="4"/>
  </w:num>
  <w:num w:numId="12">
    <w:abstractNumId w:val="1"/>
  </w:num>
  <w:num w:numId="13">
    <w:abstractNumId w:val="9"/>
  </w:num>
  <w:num w:numId="14">
    <w:abstractNumId w:val="10"/>
  </w:num>
  <w:num w:numId="15">
    <w:abstractNumId w:val="2"/>
  </w:num>
  <w:num w:numId="16">
    <w:abstractNumId w:val="7"/>
  </w:num>
  <w:num w:numId="17">
    <w:abstractNumId w:val="11"/>
  </w:num>
  <w:num w:numId="18">
    <w:abstractNumId w:val="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AE"/>
    <w:rsid w:val="00010057"/>
    <w:rsid w:val="00013798"/>
    <w:rsid w:val="0001779D"/>
    <w:rsid w:val="000232DF"/>
    <w:rsid w:val="00027F49"/>
    <w:rsid w:val="00033184"/>
    <w:rsid w:val="000333FF"/>
    <w:rsid w:val="000423A8"/>
    <w:rsid w:val="00042CA7"/>
    <w:rsid w:val="00043FC9"/>
    <w:rsid w:val="00052A93"/>
    <w:rsid w:val="00054111"/>
    <w:rsid w:val="0007764F"/>
    <w:rsid w:val="00092135"/>
    <w:rsid w:val="000B5B36"/>
    <w:rsid w:val="000D4565"/>
    <w:rsid w:val="000E058A"/>
    <w:rsid w:val="000E14E6"/>
    <w:rsid w:val="000E470D"/>
    <w:rsid w:val="000E78CC"/>
    <w:rsid w:val="00115C4E"/>
    <w:rsid w:val="001328DA"/>
    <w:rsid w:val="0016375F"/>
    <w:rsid w:val="00165435"/>
    <w:rsid w:val="00167682"/>
    <w:rsid w:val="001678E8"/>
    <w:rsid w:val="00172D97"/>
    <w:rsid w:val="00184B61"/>
    <w:rsid w:val="00187507"/>
    <w:rsid w:val="001A0199"/>
    <w:rsid w:val="001B2242"/>
    <w:rsid w:val="001C0CC0"/>
    <w:rsid w:val="001D3B68"/>
    <w:rsid w:val="002113BD"/>
    <w:rsid w:val="00223858"/>
    <w:rsid w:val="00236DEE"/>
    <w:rsid w:val="00240490"/>
    <w:rsid w:val="0025139E"/>
    <w:rsid w:val="00254D56"/>
    <w:rsid w:val="00286838"/>
    <w:rsid w:val="002B2F98"/>
    <w:rsid w:val="002C6057"/>
    <w:rsid w:val="00305238"/>
    <w:rsid w:val="00316B2B"/>
    <w:rsid w:val="003251CE"/>
    <w:rsid w:val="00327D85"/>
    <w:rsid w:val="00337321"/>
    <w:rsid w:val="00340D83"/>
    <w:rsid w:val="003442E8"/>
    <w:rsid w:val="00345732"/>
    <w:rsid w:val="00351032"/>
    <w:rsid w:val="0035641C"/>
    <w:rsid w:val="00380E7A"/>
    <w:rsid w:val="00382A30"/>
    <w:rsid w:val="003914CC"/>
    <w:rsid w:val="003937F9"/>
    <w:rsid w:val="003A764F"/>
    <w:rsid w:val="003B2EBC"/>
    <w:rsid w:val="003B55E1"/>
    <w:rsid w:val="003C12B2"/>
    <w:rsid w:val="003D7E5C"/>
    <w:rsid w:val="003E7A73"/>
    <w:rsid w:val="00410F6A"/>
    <w:rsid w:val="00453611"/>
    <w:rsid w:val="00454B11"/>
    <w:rsid w:val="00454C0D"/>
    <w:rsid w:val="0046043F"/>
    <w:rsid w:val="00477113"/>
    <w:rsid w:val="00484349"/>
    <w:rsid w:val="00490A33"/>
    <w:rsid w:val="00491490"/>
    <w:rsid w:val="00494494"/>
    <w:rsid w:val="004969FA"/>
    <w:rsid w:val="004D4BE6"/>
    <w:rsid w:val="004E2A61"/>
    <w:rsid w:val="004E4EC5"/>
    <w:rsid w:val="005051BB"/>
    <w:rsid w:val="005109FF"/>
    <w:rsid w:val="00527104"/>
    <w:rsid w:val="00562CA4"/>
    <w:rsid w:val="0056402F"/>
    <w:rsid w:val="00564DEE"/>
    <w:rsid w:val="0057441E"/>
    <w:rsid w:val="005968E4"/>
    <w:rsid w:val="005A5D0D"/>
    <w:rsid w:val="005D2150"/>
    <w:rsid w:val="005D6D05"/>
    <w:rsid w:val="006024A0"/>
    <w:rsid w:val="00602967"/>
    <w:rsid w:val="00606F11"/>
    <w:rsid w:val="0066581F"/>
    <w:rsid w:val="00665898"/>
    <w:rsid w:val="006773A2"/>
    <w:rsid w:val="006A76FE"/>
    <w:rsid w:val="006B01C8"/>
    <w:rsid w:val="006B7030"/>
    <w:rsid w:val="006C7DFB"/>
    <w:rsid w:val="006E4ECD"/>
    <w:rsid w:val="006E6B35"/>
    <w:rsid w:val="006E7B6B"/>
    <w:rsid w:val="006F4608"/>
    <w:rsid w:val="006F7A52"/>
    <w:rsid w:val="0070472F"/>
    <w:rsid w:val="00712CAA"/>
    <w:rsid w:val="00716A8B"/>
    <w:rsid w:val="00726147"/>
    <w:rsid w:val="00744A45"/>
    <w:rsid w:val="00754C6D"/>
    <w:rsid w:val="00755096"/>
    <w:rsid w:val="00765572"/>
    <w:rsid w:val="007703B4"/>
    <w:rsid w:val="00790F25"/>
    <w:rsid w:val="007A2201"/>
    <w:rsid w:val="007A34A3"/>
    <w:rsid w:val="007A4F0F"/>
    <w:rsid w:val="007C2047"/>
    <w:rsid w:val="007C2954"/>
    <w:rsid w:val="007C3F99"/>
    <w:rsid w:val="007D4F70"/>
    <w:rsid w:val="007E20E5"/>
    <w:rsid w:val="007E7CAB"/>
    <w:rsid w:val="00805D73"/>
    <w:rsid w:val="00806B73"/>
    <w:rsid w:val="008212BD"/>
    <w:rsid w:val="00837B12"/>
    <w:rsid w:val="00837E78"/>
    <w:rsid w:val="00841282"/>
    <w:rsid w:val="008552A3"/>
    <w:rsid w:val="008573F7"/>
    <w:rsid w:val="00862377"/>
    <w:rsid w:val="00882652"/>
    <w:rsid w:val="00890B49"/>
    <w:rsid w:val="00892D21"/>
    <w:rsid w:val="008D4BFC"/>
    <w:rsid w:val="008D65A9"/>
    <w:rsid w:val="008E37F7"/>
    <w:rsid w:val="008E74D7"/>
    <w:rsid w:val="008F0469"/>
    <w:rsid w:val="008F6EDB"/>
    <w:rsid w:val="00917386"/>
    <w:rsid w:val="00956D5B"/>
    <w:rsid w:val="0097354A"/>
    <w:rsid w:val="009855E4"/>
    <w:rsid w:val="00991528"/>
    <w:rsid w:val="009924EE"/>
    <w:rsid w:val="009A2D5A"/>
    <w:rsid w:val="009A5430"/>
    <w:rsid w:val="009C15C4"/>
    <w:rsid w:val="009D51B1"/>
    <w:rsid w:val="009F53F9"/>
    <w:rsid w:val="009F5566"/>
    <w:rsid w:val="00A00FAC"/>
    <w:rsid w:val="00A05391"/>
    <w:rsid w:val="00A220B3"/>
    <w:rsid w:val="00A30464"/>
    <w:rsid w:val="00A317A9"/>
    <w:rsid w:val="00A41149"/>
    <w:rsid w:val="00A63421"/>
    <w:rsid w:val="00A73B41"/>
    <w:rsid w:val="00AC2247"/>
    <w:rsid w:val="00AE4870"/>
    <w:rsid w:val="00B16D95"/>
    <w:rsid w:val="00B20316"/>
    <w:rsid w:val="00B34E3C"/>
    <w:rsid w:val="00B42AF4"/>
    <w:rsid w:val="00B62597"/>
    <w:rsid w:val="00B62E32"/>
    <w:rsid w:val="00B66E13"/>
    <w:rsid w:val="00B9039E"/>
    <w:rsid w:val="00BA6146"/>
    <w:rsid w:val="00BA7ADD"/>
    <w:rsid w:val="00BB531B"/>
    <w:rsid w:val="00BB638E"/>
    <w:rsid w:val="00BF331B"/>
    <w:rsid w:val="00C1535F"/>
    <w:rsid w:val="00C307E9"/>
    <w:rsid w:val="00C439EC"/>
    <w:rsid w:val="00C5307B"/>
    <w:rsid w:val="00C72168"/>
    <w:rsid w:val="00C757F4"/>
    <w:rsid w:val="00C75A9D"/>
    <w:rsid w:val="00C767C6"/>
    <w:rsid w:val="00CA49B9"/>
    <w:rsid w:val="00CB19DE"/>
    <w:rsid w:val="00CB475B"/>
    <w:rsid w:val="00CC1B47"/>
    <w:rsid w:val="00CD5C03"/>
    <w:rsid w:val="00CD7076"/>
    <w:rsid w:val="00CD7DD4"/>
    <w:rsid w:val="00CE7070"/>
    <w:rsid w:val="00CF1BC7"/>
    <w:rsid w:val="00CF313E"/>
    <w:rsid w:val="00CF5308"/>
    <w:rsid w:val="00D06EC8"/>
    <w:rsid w:val="00D07424"/>
    <w:rsid w:val="00D136EA"/>
    <w:rsid w:val="00D24EDF"/>
    <w:rsid w:val="00D251ED"/>
    <w:rsid w:val="00D42220"/>
    <w:rsid w:val="00D66879"/>
    <w:rsid w:val="00D831E4"/>
    <w:rsid w:val="00D83905"/>
    <w:rsid w:val="00D95949"/>
    <w:rsid w:val="00DB29E9"/>
    <w:rsid w:val="00DD2CF3"/>
    <w:rsid w:val="00DE34CF"/>
    <w:rsid w:val="00DF003D"/>
    <w:rsid w:val="00DF0B3F"/>
    <w:rsid w:val="00DF1431"/>
    <w:rsid w:val="00E1605D"/>
    <w:rsid w:val="00E24B76"/>
    <w:rsid w:val="00E32B6B"/>
    <w:rsid w:val="00E41600"/>
    <w:rsid w:val="00E507AE"/>
    <w:rsid w:val="00E5387A"/>
    <w:rsid w:val="00E55E84"/>
    <w:rsid w:val="00E5612B"/>
    <w:rsid w:val="00E82F42"/>
    <w:rsid w:val="00E87348"/>
    <w:rsid w:val="00E91714"/>
    <w:rsid w:val="00EA0484"/>
    <w:rsid w:val="00EA66F6"/>
    <w:rsid w:val="00EB0D01"/>
    <w:rsid w:val="00EB68B0"/>
    <w:rsid w:val="00EF7070"/>
    <w:rsid w:val="00F0153F"/>
    <w:rsid w:val="00F33DC8"/>
    <w:rsid w:val="00F4190F"/>
    <w:rsid w:val="00F44396"/>
    <w:rsid w:val="00F57A3F"/>
    <w:rsid w:val="00F63584"/>
    <w:rsid w:val="00F7443D"/>
    <w:rsid w:val="00F77266"/>
    <w:rsid w:val="00F91D9D"/>
    <w:rsid w:val="00FC2B9A"/>
    <w:rsid w:val="00FC4406"/>
    <w:rsid w:val="00FC6630"/>
    <w:rsid w:val="00FD0122"/>
    <w:rsid w:val="00FD1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committees-groups/subcommittees/mss/2022/20220816/2022-settlement-c-tracking.ashx"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