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B62597" w:rsidP="00755096">
      <w:pPr>
        <w:pStyle w:val="MeetingDetails"/>
      </w:pPr>
      <w:r>
        <w:t>May 15</w:t>
      </w:r>
      <w:r w:rsidR="00837E78">
        <w:t>,</w:t>
      </w:r>
      <w:r w:rsidR="002B2F98">
        <w:t xml:space="preserve"> </w:t>
      </w:r>
      <w:r w:rsidR="00EB12FF">
        <w:t>2023</w:t>
      </w:r>
      <w:r w:rsidR="006558DF">
        <w:t xml:space="preserve"> (canceled)</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t>Informational updates</w:t>
      </w:r>
    </w:p>
    <w:bookmarkEnd w:id="0"/>
    <w:bookmarkEnd w:id="1"/>
    <w:p w:rsidR="00E87A39" w:rsidP="006558DF">
      <w:pPr>
        <w:pStyle w:val="SecondaryHeading-Numbered"/>
        <w:numPr>
          <w:ilvl w:val="0"/>
          <w:numId w:val="16"/>
        </w:numPr>
      </w:pPr>
      <w:r>
        <w:t>FRR Capacity Resource Deficiency Settlements</w:t>
      </w:r>
    </w:p>
    <w:p w:rsidR="009D17D8" w:rsidP="009D17D8">
      <w:pPr>
        <w:pStyle w:val="SecondaryHeading-Numbered"/>
        <w:numPr>
          <w:ilvl w:val="0"/>
          <w:numId w:val="0"/>
        </w:numPr>
        <w:ind w:left="720"/>
        <w:rPr>
          <w:b w:val="0"/>
        </w:rPr>
      </w:pPr>
      <w:r>
        <w:rPr>
          <w:b w:val="0"/>
        </w:rPr>
        <w:t>Billing Line Items 1681 and 2681 for FRR LSE Capacity Resource Deficiency, which have not been active since 2011, will be populated again with the 2023/2024 delivery year.  Please review the presentation linked below for billing details and supporting MSRS report details.  PJM will provide additional review at the June 2023 MSS meeting.</w:t>
      </w:r>
    </w:p>
    <w:p w:rsidR="009D17D8" w:rsidRPr="00D26DDF" w:rsidP="009D17D8">
      <w:pPr>
        <w:pStyle w:val="SecondaryHeading-Numbered"/>
        <w:numPr>
          <w:ilvl w:val="0"/>
          <w:numId w:val="0"/>
        </w:numPr>
        <w:ind w:left="720"/>
        <w:rPr>
          <w:rStyle w:val="Hyperlink"/>
          <w:rFonts w:eastAsiaTheme="minorHAnsi" w:cs="Calibri"/>
          <w:b w:val="0"/>
          <w:sz w:val="22"/>
        </w:rPr>
      </w:pPr>
      <w:r w:rsidRPr="00D26DDF">
        <w:rPr>
          <w:rStyle w:val="Hyperlink"/>
          <w:rFonts w:eastAsiaTheme="minorHAnsi" w:cs="Calibri"/>
          <w:b w:val="0"/>
          <w:sz w:val="22"/>
        </w:rPr>
        <w:t xml:space="preserve">FRR Capacity Resource </w:t>
      </w:r>
      <w:hyperlink r:id="rId4" w:history="1">
        <w:r w:rsidRPr="00D26DDF">
          <w:rPr>
            <w:rStyle w:val="Hyperlink"/>
            <w:rFonts w:eastAsiaTheme="minorHAnsi" w:cs="Calibri"/>
            <w:b w:val="0"/>
            <w:sz w:val="22"/>
          </w:rPr>
          <w:t>Deficiency</w:t>
        </w:r>
      </w:hyperlink>
      <w:r w:rsidRPr="00D26DDF">
        <w:rPr>
          <w:rStyle w:val="Hyperlink"/>
          <w:rFonts w:eastAsiaTheme="minorHAnsi" w:cs="Calibri"/>
          <w:b w:val="0"/>
          <w:sz w:val="22"/>
        </w:rPr>
        <w:t xml:space="preserve"> Settlements</w:t>
      </w:r>
    </w:p>
    <w:p w:rsidR="001D3B68" w:rsidRPr="006C5A36" w:rsidP="006558DF">
      <w:pPr>
        <w:pStyle w:val="SecondaryHeading-Numbered"/>
        <w:numPr>
          <w:ilvl w:val="0"/>
          <w:numId w:val="16"/>
        </w:numPr>
      </w:pPr>
      <w:r>
        <w:t>Reminder: ARR Target Credits MSRS Report Update</w:t>
      </w:r>
    </w:p>
    <w:p w:rsidR="006558DF" w:rsidP="006558DF">
      <w:pPr>
        <w:pStyle w:val="SecondaryHeading-Numbered"/>
        <w:numPr>
          <w:ilvl w:val="0"/>
          <w:numId w:val="0"/>
        </w:numPr>
        <w:ind w:left="720"/>
        <w:rPr>
          <w:rFonts w:cs="Calibri"/>
          <w:b w:val="0"/>
        </w:rPr>
      </w:pPr>
      <w:r w:rsidRPr="00362005">
        <w:rPr>
          <w:rFonts w:cs="Calibri"/>
          <w:b w:val="0"/>
        </w:rPr>
        <w:t xml:space="preserve">Please review </w:t>
      </w:r>
      <w:r w:rsidR="00E87A39">
        <w:rPr>
          <w:rFonts w:cs="Calibri"/>
          <w:b w:val="0"/>
        </w:rPr>
        <w:t>updates to the ARR Target Credits report that will be effective June 1, 2023.</w:t>
      </w:r>
    </w:p>
    <w:p w:rsidR="00362005" w:rsidRPr="00362005" w:rsidP="00362005">
      <w:pPr>
        <w:pStyle w:val="ListParagraph"/>
        <w:ind w:left="405" w:firstLine="315"/>
        <w:rPr>
          <w:rFonts w:ascii="Arial Narrow" w:hAnsi="Arial Narrow" w:cs="Calibri"/>
        </w:rPr>
      </w:pPr>
      <w:hyperlink r:id="rId5" w:history="1">
        <w:r w:rsidR="00E87A39">
          <w:rPr>
            <w:rStyle w:val="Hyperlink"/>
            <w:rFonts w:ascii="Arial Narrow" w:hAnsi="Arial Narrow" w:cs="Calibri"/>
          </w:rPr>
          <w:t>ARR</w:t>
        </w:r>
      </w:hyperlink>
      <w:r w:rsidR="00E87A39">
        <w:rPr>
          <w:rStyle w:val="Hyperlink"/>
          <w:rFonts w:ascii="Arial Narrow" w:hAnsi="Arial Narrow" w:cs="Calibri"/>
        </w:rPr>
        <w:t xml:space="preserve"> Target Credits MSRS Report Update</w:t>
      </w:r>
    </w:p>
    <w:p w:rsidR="006558DF" w:rsidRPr="006C5A36" w:rsidP="006558DF">
      <w:pPr>
        <w:pStyle w:val="SecondaryHeading-Numbered"/>
        <w:numPr>
          <w:ilvl w:val="0"/>
          <w:numId w:val="16"/>
        </w:numPr>
      </w:pPr>
      <w:r>
        <w:t>Settlement C Tracking</w:t>
      </w:r>
    </w:p>
    <w:p w:rsidR="006C5A36" w:rsidP="006C5A36">
      <w:pPr>
        <w:pStyle w:val="ListParagraph"/>
        <w:rPr>
          <w:rFonts w:ascii="Arial Narrow" w:hAnsi="Arial Narrow" w:cs="Calibri"/>
        </w:rPr>
      </w:pPr>
      <w:r>
        <w:rPr>
          <w:rFonts w:ascii="Arial Narrow" w:hAnsi="Arial Narrow" w:cs="Calibri"/>
        </w:rPr>
        <w:t>No adjustme</w:t>
      </w:r>
      <w:r w:rsidR="00BE0503">
        <w:rPr>
          <w:rFonts w:ascii="Arial Narrow" w:hAnsi="Arial Narrow" w:cs="Calibri"/>
        </w:rPr>
        <w:t>nts were processed in the April</w:t>
      </w:r>
      <w:bookmarkStart w:id="2" w:name="_GoBack"/>
      <w:bookmarkEnd w:id="2"/>
      <w:r>
        <w:rPr>
          <w:rFonts w:ascii="Arial Narrow" w:hAnsi="Arial Narrow" w:cs="Calibri"/>
        </w:rPr>
        <w:t xml:space="preserve"> 2023 billing cycle.</w:t>
      </w:r>
    </w:p>
    <w:p w:rsidR="00340EE4" w:rsidRPr="006C5A36" w:rsidP="006C5A36">
      <w:pPr>
        <w:pStyle w:val="SecondaryHeading-Numbered"/>
        <w:numPr>
          <w:ilvl w:val="0"/>
          <w:numId w:val="0"/>
        </w:numPr>
        <w:ind w:left="720"/>
        <w:rPr>
          <w:b w:val="0"/>
        </w:rPr>
      </w:pPr>
      <w:hyperlink r:id="rId6" w:history="1">
        <w:r w:rsidR="00001E30">
          <w:rPr>
            <w:rStyle w:val="Hyperlink"/>
            <w:b w:val="0"/>
          </w:rPr>
          <w:t>2023</w:t>
        </w:r>
        <w:r w:rsidRPr="002D7B41" w:rsidR="002D7B41">
          <w:rPr>
            <w:rStyle w:val="Hyperlink"/>
            <w:b w:val="0"/>
          </w:rPr>
          <w:t xml:space="preserve"> Settlement C Tracking</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0"/>
        <w:gridCol w:w="3125"/>
      </w:tblGrid>
      <w:tr w:rsidTr="00296AA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
        </w:trPr>
        <w:tc>
          <w:tcPr>
            <w:tcW w:w="9350" w:type="dxa"/>
            <w:gridSpan w:val="3"/>
          </w:tcPr>
          <w:p w:rsidR="00BB531B" w:rsidP="00AC2247">
            <w:pPr>
              <w:pStyle w:val="PrimaryHeading"/>
              <w:ind w:left="-108"/>
            </w:pPr>
            <w:r>
              <w:t>Future Meeting Dates</w:t>
            </w: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June 12, 2023</w:t>
            </w:r>
          </w:p>
        </w:tc>
        <w:tc>
          <w:tcPr>
            <w:tcW w:w="3110"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July 17, 2023</w:t>
            </w:r>
          </w:p>
        </w:tc>
        <w:tc>
          <w:tcPr>
            <w:tcW w:w="3110"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August 14, 2023</w:t>
            </w:r>
          </w:p>
        </w:tc>
        <w:tc>
          <w:tcPr>
            <w:tcW w:w="3110"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September 11, 2023</w:t>
            </w:r>
          </w:p>
        </w:tc>
        <w:tc>
          <w:tcPr>
            <w:tcW w:w="3110"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bl>
    <w:p w:rsidR="00726147" w:rsidP="00337321">
      <w:pPr>
        <w:pStyle w:val="Author"/>
      </w:pPr>
    </w:p>
    <w:p w:rsidR="00726147" w:rsidP="00FC4406">
      <w:pPr>
        <w:pStyle w:val="Author"/>
      </w:pPr>
      <w:r>
        <w:t xml:space="preserve">Author: </w:t>
      </w:r>
      <w:r w:rsidR="006E4ECD">
        <w:t>Sean Flamm</w:t>
      </w:r>
    </w:p>
    <w:p w:rsidR="003C12B2"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t>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E050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B6239">
      <w:rPr>
        <w:rFonts w:ascii="Arial Narrow" w:hAnsi="Arial Narrow"/>
        <w:sz w:val="20"/>
      </w:rPr>
      <w:t>23</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E87A39">
      <w:t>May 15</w:t>
    </w:r>
    <w:r w:rsidR="00EB12F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B045875"/>
    <w:multiLevelType w:val="hybridMultilevel"/>
    <w:tmpl w:val="7FAEB4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1"/>
  </w:num>
  <w:num w:numId="13">
    <w:abstractNumId w:val="6"/>
  </w:num>
  <w:num w:numId="14">
    <w:abstractNumId w:val="7"/>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1E30"/>
    <w:rsid w:val="00010057"/>
    <w:rsid w:val="0001779D"/>
    <w:rsid w:val="000232DF"/>
    <w:rsid w:val="00027F49"/>
    <w:rsid w:val="000333FF"/>
    <w:rsid w:val="00054111"/>
    <w:rsid w:val="00060C9F"/>
    <w:rsid w:val="0007764F"/>
    <w:rsid w:val="00092135"/>
    <w:rsid w:val="000D4565"/>
    <w:rsid w:val="000E14E6"/>
    <w:rsid w:val="00115C4E"/>
    <w:rsid w:val="0016375F"/>
    <w:rsid w:val="001678E8"/>
    <w:rsid w:val="00172D97"/>
    <w:rsid w:val="00187507"/>
    <w:rsid w:val="001A0199"/>
    <w:rsid w:val="001B2242"/>
    <w:rsid w:val="001C0CC0"/>
    <w:rsid w:val="001D3B68"/>
    <w:rsid w:val="002113BD"/>
    <w:rsid w:val="00223858"/>
    <w:rsid w:val="00240490"/>
    <w:rsid w:val="0025139E"/>
    <w:rsid w:val="00254D56"/>
    <w:rsid w:val="00286838"/>
    <w:rsid w:val="00296AAA"/>
    <w:rsid w:val="002B2F98"/>
    <w:rsid w:val="002C6057"/>
    <w:rsid w:val="002D7B41"/>
    <w:rsid w:val="002F695E"/>
    <w:rsid w:val="00305238"/>
    <w:rsid w:val="00316B2B"/>
    <w:rsid w:val="003251CE"/>
    <w:rsid w:val="00327D85"/>
    <w:rsid w:val="00337321"/>
    <w:rsid w:val="00340D83"/>
    <w:rsid w:val="00340EE4"/>
    <w:rsid w:val="003442E8"/>
    <w:rsid w:val="00345732"/>
    <w:rsid w:val="00351032"/>
    <w:rsid w:val="0035641C"/>
    <w:rsid w:val="00362005"/>
    <w:rsid w:val="00380E7A"/>
    <w:rsid w:val="003914CC"/>
    <w:rsid w:val="003A764F"/>
    <w:rsid w:val="003B2EBC"/>
    <w:rsid w:val="003B55E1"/>
    <w:rsid w:val="003C12B2"/>
    <w:rsid w:val="003D7E5C"/>
    <w:rsid w:val="003E7A73"/>
    <w:rsid w:val="00454B11"/>
    <w:rsid w:val="0046043F"/>
    <w:rsid w:val="00477113"/>
    <w:rsid w:val="00484349"/>
    <w:rsid w:val="00491490"/>
    <w:rsid w:val="00494494"/>
    <w:rsid w:val="004969FA"/>
    <w:rsid w:val="004E4EC5"/>
    <w:rsid w:val="005109FF"/>
    <w:rsid w:val="00527104"/>
    <w:rsid w:val="00564DEE"/>
    <w:rsid w:val="0057441E"/>
    <w:rsid w:val="005A5D0D"/>
    <w:rsid w:val="005D6D05"/>
    <w:rsid w:val="006024A0"/>
    <w:rsid w:val="00602967"/>
    <w:rsid w:val="00606F11"/>
    <w:rsid w:val="006558DF"/>
    <w:rsid w:val="0066581F"/>
    <w:rsid w:val="006B7030"/>
    <w:rsid w:val="006C5A36"/>
    <w:rsid w:val="006C7DFB"/>
    <w:rsid w:val="006E4ECD"/>
    <w:rsid w:val="006F7A52"/>
    <w:rsid w:val="00712CAA"/>
    <w:rsid w:val="00716A8B"/>
    <w:rsid w:val="00726147"/>
    <w:rsid w:val="00744A45"/>
    <w:rsid w:val="00754C6D"/>
    <w:rsid w:val="00755096"/>
    <w:rsid w:val="007703B4"/>
    <w:rsid w:val="00790F25"/>
    <w:rsid w:val="007A34A3"/>
    <w:rsid w:val="007A4F0F"/>
    <w:rsid w:val="007C2047"/>
    <w:rsid w:val="007C2954"/>
    <w:rsid w:val="007D4F70"/>
    <w:rsid w:val="007E20E5"/>
    <w:rsid w:val="007E7CAB"/>
    <w:rsid w:val="00837B12"/>
    <w:rsid w:val="00837E78"/>
    <w:rsid w:val="00841282"/>
    <w:rsid w:val="008552A3"/>
    <w:rsid w:val="008573F7"/>
    <w:rsid w:val="00862377"/>
    <w:rsid w:val="00882652"/>
    <w:rsid w:val="00890B49"/>
    <w:rsid w:val="008D65A9"/>
    <w:rsid w:val="008F6EDB"/>
    <w:rsid w:val="00917386"/>
    <w:rsid w:val="009855E4"/>
    <w:rsid w:val="00991528"/>
    <w:rsid w:val="009A2D5A"/>
    <w:rsid w:val="009A5430"/>
    <w:rsid w:val="009C15C4"/>
    <w:rsid w:val="009D17D8"/>
    <w:rsid w:val="009D51B1"/>
    <w:rsid w:val="009F53F9"/>
    <w:rsid w:val="009F5566"/>
    <w:rsid w:val="00A00FAC"/>
    <w:rsid w:val="00A05391"/>
    <w:rsid w:val="00A30464"/>
    <w:rsid w:val="00A317A9"/>
    <w:rsid w:val="00A41149"/>
    <w:rsid w:val="00A73B41"/>
    <w:rsid w:val="00A95BF8"/>
    <w:rsid w:val="00AC2247"/>
    <w:rsid w:val="00AE4870"/>
    <w:rsid w:val="00B16D95"/>
    <w:rsid w:val="00B20316"/>
    <w:rsid w:val="00B34E3C"/>
    <w:rsid w:val="00B42AF4"/>
    <w:rsid w:val="00B62597"/>
    <w:rsid w:val="00B62E32"/>
    <w:rsid w:val="00B66E13"/>
    <w:rsid w:val="00B94DFA"/>
    <w:rsid w:val="00BA6146"/>
    <w:rsid w:val="00BA7ADD"/>
    <w:rsid w:val="00BB531B"/>
    <w:rsid w:val="00BB638E"/>
    <w:rsid w:val="00BE0503"/>
    <w:rsid w:val="00BF16D5"/>
    <w:rsid w:val="00BF331B"/>
    <w:rsid w:val="00C439EC"/>
    <w:rsid w:val="00C5307B"/>
    <w:rsid w:val="00C72168"/>
    <w:rsid w:val="00C757F4"/>
    <w:rsid w:val="00C75A9D"/>
    <w:rsid w:val="00C767C6"/>
    <w:rsid w:val="00CA49B9"/>
    <w:rsid w:val="00CB19DE"/>
    <w:rsid w:val="00CB475B"/>
    <w:rsid w:val="00CC1B47"/>
    <w:rsid w:val="00CD5C03"/>
    <w:rsid w:val="00CD7DD4"/>
    <w:rsid w:val="00CE7070"/>
    <w:rsid w:val="00CF5308"/>
    <w:rsid w:val="00D06EC8"/>
    <w:rsid w:val="00D07424"/>
    <w:rsid w:val="00D136EA"/>
    <w:rsid w:val="00D251ED"/>
    <w:rsid w:val="00D26DDF"/>
    <w:rsid w:val="00D42220"/>
    <w:rsid w:val="00D43DBA"/>
    <w:rsid w:val="00D66879"/>
    <w:rsid w:val="00D831E4"/>
    <w:rsid w:val="00D83905"/>
    <w:rsid w:val="00D95949"/>
    <w:rsid w:val="00DB29E9"/>
    <w:rsid w:val="00DD2CF3"/>
    <w:rsid w:val="00DE34CF"/>
    <w:rsid w:val="00DF0B3F"/>
    <w:rsid w:val="00DF1431"/>
    <w:rsid w:val="00E1605D"/>
    <w:rsid w:val="00E24B76"/>
    <w:rsid w:val="00E32B6B"/>
    <w:rsid w:val="00E507AE"/>
    <w:rsid w:val="00E5387A"/>
    <w:rsid w:val="00E55E84"/>
    <w:rsid w:val="00E82F42"/>
    <w:rsid w:val="00E87348"/>
    <w:rsid w:val="00E87A39"/>
    <w:rsid w:val="00E91714"/>
    <w:rsid w:val="00EA0484"/>
    <w:rsid w:val="00EA66F6"/>
    <w:rsid w:val="00EB12FF"/>
    <w:rsid w:val="00EB68B0"/>
    <w:rsid w:val="00EF7070"/>
    <w:rsid w:val="00F4190F"/>
    <w:rsid w:val="00F44396"/>
    <w:rsid w:val="00F63584"/>
    <w:rsid w:val="00F7443D"/>
    <w:rsid w:val="00F77266"/>
    <w:rsid w:val="00F91D9D"/>
    <w:rsid w:val="00FB6239"/>
    <w:rsid w:val="00FC2B9A"/>
    <w:rsid w:val="00FC4406"/>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EFA500"/>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6C5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3/20230515/20230515-item-01---frr-capacity-resource-deficiency-settlements.ashx" TargetMode="External" /><Relationship Id="rId5" Type="http://schemas.openxmlformats.org/officeDocument/2006/relationships/hyperlink" Target="https://www.pjm.com/-/media/committees-groups/subcommittees/mss/2023/20230417/20230417-item-02---arr-target-credits-msrs-report-update.ashx" TargetMode="External" /><Relationship Id="rId6" Type="http://schemas.openxmlformats.org/officeDocument/2006/relationships/hyperlink" Target="https://www.pjm.com/-/media/committees-groups/subcommittees/mss/2023/20230216/20230216-2023-settlement-c-tracking.ashx"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