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06439568">
      <w:pPr>
        <w:pStyle w:val="MeetingDetails"/>
      </w:pPr>
      <w:r>
        <w:t>July</w:t>
      </w:r>
      <w:r w:rsidR="005051BB">
        <w:t xml:space="preserve"> </w:t>
      </w:r>
      <w:r>
        <w:t>14</w:t>
      </w:r>
      <w:r w:rsidR="00837E78">
        <w:t>,</w:t>
      </w:r>
      <w:r w:rsidR="002B2F98">
        <w:t xml:space="preserve"> </w:t>
      </w:r>
      <w:r w:rsidR="005A5E3D">
        <w:t>2025</w:t>
      </w:r>
      <w:r w:rsidR="00950957">
        <w:t xml:space="preserve"> </w:t>
      </w:r>
      <w:bookmarkStart w:id="0" w:name="_GoBack"/>
      <w:bookmarkEnd w:id="0"/>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7A59EB" w:rsidP="0078570A" w14:paraId="51FE4776" w14:textId="736EB0BF">
      <w:pPr>
        <w:pStyle w:val="PrimaryHeading"/>
      </w:pPr>
      <w:r>
        <w:t>Informational Updates</w:t>
      </w:r>
    </w:p>
    <w:p w:rsidR="0026628E" w:rsidP="00C47C26" w14:paraId="1DE2A0F8" w14:textId="0F5116C0">
      <w:pPr>
        <w:pStyle w:val="MeetingDetails"/>
        <w:numPr>
          <w:ilvl w:val="0"/>
          <w:numId w:val="26"/>
        </w:numPr>
        <w:tabs>
          <w:tab w:val="left" w:pos="0"/>
        </w:tabs>
        <w:contextualSpacing/>
      </w:pPr>
      <w:r>
        <w:t>Regulation Market Redesign Phase 1 Details</w:t>
      </w:r>
    </w:p>
    <w:p w:rsidR="00C47C26" w:rsidP="00C47C26" w14:paraId="44D0C9EA" w14:textId="654A0986">
      <w:pPr>
        <w:pStyle w:val="MeetingDetails"/>
        <w:tabs>
          <w:tab w:val="left" w:pos="0"/>
        </w:tabs>
        <w:ind w:left="360"/>
        <w:contextualSpacing/>
      </w:pPr>
    </w:p>
    <w:p w:rsidR="00CC58D2" w:rsidRPr="00CC58D2" w:rsidP="00C47C26" w14:paraId="645C462D" w14:textId="4EB13E51">
      <w:pPr>
        <w:pStyle w:val="MeetingDetails"/>
        <w:tabs>
          <w:tab w:val="left" w:pos="0"/>
        </w:tabs>
        <w:ind w:left="360"/>
        <w:contextualSpacing/>
        <w:rPr>
          <w:b w:val="0"/>
        </w:rPr>
      </w:pPr>
      <w:r>
        <w:rPr>
          <w:b w:val="0"/>
        </w:rPr>
        <w:t>Additional u</w:t>
      </w:r>
      <w:r>
        <w:rPr>
          <w:b w:val="0"/>
        </w:rPr>
        <w:t xml:space="preserve">pdates were made to the presentation originally detailed at the May 5, 2025 MSS meeting relating to settlements impacts for Regulation Market Redesign Phase 1.  </w:t>
      </w:r>
    </w:p>
    <w:p w:rsidR="00C47C26" w:rsidP="009B3541" w14:paraId="592157C3" w14:textId="5F3B9E88">
      <w:pPr>
        <w:pStyle w:val="MeetingDetails"/>
        <w:tabs>
          <w:tab w:val="left" w:pos="0"/>
        </w:tabs>
        <w:contextualSpacing/>
        <w:rPr>
          <w:b w:val="0"/>
        </w:rPr>
      </w:pPr>
    </w:p>
    <w:p w:rsidR="00C47C26" w:rsidP="00C47C26" w14:paraId="595E88A0" w14:textId="52396911">
      <w:pPr>
        <w:pStyle w:val="MeetingDetails"/>
        <w:tabs>
          <w:tab w:val="left" w:pos="0"/>
        </w:tabs>
        <w:ind w:left="360"/>
        <w:contextualSpacing/>
        <w:rPr>
          <w:rStyle w:val="Hyperlink"/>
          <w:b w:val="0"/>
        </w:rPr>
      </w:pPr>
      <w:hyperlink r:id="rId4" w:history="1">
        <w:r w:rsidRPr="00252319" w:rsidR="00252319">
          <w:rPr>
            <w:rStyle w:val="Hyperlink"/>
            <w:b w:val="0"/>
          </w:rPr>
          <w:t>Regulation Market Redesign Phase 1</w:t>
        </w:r>
      </w:hyperlink>
    </w:p>
    <w:p w:rsidR="0078570A" w:rsidP="00C47C26" w14:paraId="13B15EB5" w14:textId="1B9AE947">
      <w:pPr>
        <w:pStyle w:val="MeetingDetails"/>
        <w:tabs>
          <w:tab w:val="left" w:pos="0"/>
        </w:tabs>
        <w:ind w:left="360"/>
        <w:contextualSpacing/>
        <w:rPr>
          <w:rStyle w:val="Hyperlink"/>
          <w:b w:val="0"/>
        </w:rPr>
      </w:pPr>
    </w:p>
    <w:p w:rsidR="0078570A" w:rsidRPr="001E3455" w:rsidP="0078570A" w14:paraId="20F40D81" w14:textId="6C949E22">
      <w:pPr>
        <w:pStyle w:val="MeetingDetails"/>
        <w:numPr>
          <w:ilvl w:val="0"/>
          <w:numId w:val="26"/>
        </w:numPr>
        <w:tabs>
          <w:tab w:val="left" w:pos="0"/>
        </w:tabs>
        <w:contextualSpacing/>
        <w:rPr>
          <w:b w:val="0"/>
          <w:color w:val="0000FF" w:themeColor="hyperlink"/>
          <w:u w:val="single"/>
        </w:rPr>
      </w:pPr>
      <w:r>
        <w:t>DOE 202(c) Cost Allocation Process</w:t>
      </w:r>
    </w:p>
    <w:p w:rsidR="001E3455" w:rsidP="001E3455" w14:paraId="58C1B1DA" w14:textId="77777777">
      <w:pPr>
        <w:pStyle w:val="MeetingDetails"/>
        <w:tabs>
          <w:tab w:val="left" w:pos="0"/>
        </w:tabs>
        <w:ind w:left="360"/>
        <w:contextualSpacing/>
        <w:rPr>
          <w:b w:val="0"/>
        </w:rPr>
      </w:pPr>
    </w:p>
    <w:p w:rsidR="001E3455" w:rsidP="001E3455" w14:paraId="1C837B2F" w14:textId="3B4E3686">
      <w:pPr>
        <w:pStyle w:val="MeetingDetails"/>
        <w:tabs>
          <w:tab w:val="left" w:pos="0"/>
        </w:tabs>
        <w:ind w:left="360"/>
        <w:contextualSpacing/>
        <w:rPr>
          <w:b w:val="0"/>
        </w:rPr>
      </w:pPr>
      <w:r w:rsidRPr="001E3455">
        <w:rPr>
          <w:b w:val="0"/>
        </w:rPr>
        <w:t>Critical Issue Fast Path - DOE 202(c) Cost Allocation</w:t>
      </w:r>
      <w:r>
        <w:rPr>
          <w:b w:val="0"/>
        </w:rPr>
        <w:t xml:space="preserve"> was completed in June </w:t>
      </w:r>
      <w:r w:rsidRPr="001E3455">
        <w:rPr>
          <w:b w:val="0"/>
        </w:rPr>
        <w:t>to address emergent</w:t>
      </w:r>
      <w:r>
        <w:rPr>
          <w:rFonts w:ascii="Trebuchet MS" w:hAnsi="Trebuchet MS"/>
          <w:color w:val="222222"/>
          <w:sz w:val="19"/>
          <w:szCs w:val="19"/>
        </w:rPr>
        <w:t xml:space="preserve"> </w:t>
      </w:r>
      <w:r w:rsidRPr="001E3455">
        <w:rPr>
          <w:b w:val="0"/>
        </w:rPr>
        <w:t xml:space="preserve">issues resulting from DOE 202(c) Order, requiring Constellation Energy’s </w:t>
      </w:r>
      <w:r w:rsidRPr="001E3455">
        <w:rPr>
          <w:b w:val="0"/>
        </w:rPr>
        <w:t>Eddystone</w:t>
      </w:r>
      <w:r w:rsidRPr="001E3455">
        <w:rPr>
          <w:b w:val="0"/>
        </w:rPr>
        <w:t xml:space="preserve"> Units 3 &amp; 4 to continue operating for 90 days</w:t>
      </w:r>
      <w:r>
        <w:rPr>
          <w:b w:val="0"/>
        </w:rPr>
        <w:t>.  The linked presentation details outcomes of the process and upcoming settlement actions.</w:t>
      </w:r>
    </w:p>
    <w:p w:rsidR="001E3455" w:rsidP="001E3455" w14:paraId="428E833A" w14:textId="193F3F92">
      <w:pPr>
        <w:pStyle w:val="MeetingDetails"/>
        <w:tabs>
          <w:tab w:val="left" w:pos="0"/>
        </w:tabs>
        <w:ind w:left="360"/>
        <w:contextualSpacing/>
        <w:rPr>
          <w:b w:val="0"/>
        </w:rPr>
      </w:pPr>
    </w:p>
    <w:p w:rsidR="001E3455" w:rsidRPr="001E3455" w:rsidP="001E3455" w14:paraId="2A768F6B" w14:textId="53D49D40">
      <w:pPr>
        <w:pStyle w:val="MeetingDetails"/>
        <w:tabs>
          <w:tab w:val="left" w:pos="0"/>
        </w:tabs>
        <w:ind w:left="360"/>
        <w:contextualSpacing/>
        <w:rPr>
          <w:b w:val="0"/>
        </w:rPr>
      </w:pPr>
      <w:hyperlink r:id="rId5" w:history="1">
        <w:r w:rsidRPr="001E3455">
          <w:rPr>
            <w:rStyle w:val="Hyperlink"/>
            <w:b w:val="0"/>
          </w:rPr>
          <w:t>Eddystone</w:t>
        </w:r>
        <w:r w:rsidRPr="001E3455">
          <w:rPr>
            <w:rStyle w:val="Hyperlink"/>
            <w:b w:val="0"/>
          </w:rPr>
          <w:t xml:space="preserve"> 202(c) Cost Allocation</w:t>
        </w:r>
      </w:hyperlink>
    </w:p>
    <w:p w:rsidR="00C25FC6" w:rsidP="00C25FC6" w14:paraId="679BCEF1" w14:textId="7072146D">
      <w:pPr>
        <w:pStyle w:val="MeetingDetails"/>
        <w:tabs>
          <w:tab w:val="left" w:pos="0"/>
        </w:tabs>
        <w:contextualSpacing/>
      </w:pPr>
    </w:p>
    <w:p w:rsidR="008A2EA8" w:rsidRPr="008A2EA8" w:rsidP="008A2EA8" w14:paraId="3A19122D" w14:textId="0F5A687B">
      <w:pPr>
        <w:pStyle w:val="MeetingDetails"/>
        <w:numPr>
          <w:ilvl w:val="0"/>
          <w:numId w:val="26"/>
        </w:numPr>
        <w:tabs>
          <w:tab w:val="left" w:pos="0"/>
        </w:tabs>
        <w:contextualSpacing/>
        <w:rPr>
          <w:b w:val="0"/>
          <w:color w:val="0000FF" w:themeColor="hyperlink"/>
          <w:u w:val="single"/>
        </w:rPr>
      </w:pPr>
      <w:r>
        <w:t xml:space="preserve">Updates to Billing </w:t>
      </w:r>
      <w:r w:rsidR="00FA036F">
        <w:t>Statement</w:t>
      </w:r>
      <w:r>
        <w:t xml:space="preserve"> Reports for Increased Invoice Number Size</w:t>
      </w:r>
    </w:p>
    <w:p w:rsidR="008A2EA8" w:rsidP="008A2EA8" w14:paraId="7F35F1CB" w14:textId="634219C0">
      <w:pPr>
        <w:pStyle w:val="MeetingDetails"/>
        <w:tabs>
          <w:tab w:val="left" w:pos="0"/>
        </w:tabs>
        <w:contextualSpacing/>
        <w:rPr>
          <w:rFonts w:asciiTheme="minorHAnsi" w:eastAsiaTheme="minorHAnsi" w:hAnsiTheme="minorHAnsi" w:cstheme="minorBidi"/>
          <w:color w:val="0000FF" w:themeColor="hyperlink"/>
          <w:sz w:val="22"/>
          <w:szCs w:val="22"/>
          <w:u w:val="single"/>
        </w:rPr>
      </w:pPr>
    </w:p>
    <w:p w:rsidR="008A2EA8" w:rsidP="00FA036F" w14:paraId="79E2C465" w14:textId="16673E80">
      <w:pPr>
        <w:pStyle w:val="MeetingDetails"/>
        <w:tabs>
          <w:tab w:val="left" w:pos="0"/>
        </w:tabs>
        <w:ind w:left="360"/>
        <w:contextualSpacing/>
        <w:rPr>
          <w:b w:val="0"/>
        </w:rPr>
      </w:pPr>
      <w:r w:rsidRPr="00FA036F">
        <w:rPr>
          <w:b w:val="0"/>
        </w:rPr>
        <w:t>The M</w:t>
      </w:r>
      <w:r w:rsidR="001E3455">
        <w:rPr>
          <w:b w:val="0"/>
        </w:rPr>
        <w:t xml:space="preserve">onthly Billing Statement </w:t>
      </w:r>
      <w:r w:rsidRPr="00FA036F">
        <w:rPr>
          <w:b w:val="0"/>
        </w:rPr>
        <w:t>and</w:t>
      </w:r>
      <w:r>
        <w:rPr>
          <w:b w:val="0"/>
        </w:rPr>
        <w:t xml:space="preserve"> Weekly Billing Statement </w:t>
      </w:r>
      <w:r w:rsidR="001E3455">
        <w:rPr>
          <w:b w:val="0"/>
        </w:rPr>
        <w:t xml:space="preserve">MSRS </w:t>
      </w:r>
      <w:r>
        <w:rPr>
          <w:b w:val="0"/>
        </w:rPr>
        <w:t>report</w:t>
      </w:r>
      <w:r w:rsidR="001E3455">
        <w:rPr>
          <w:b w:val="0"/>
        </w:rPr>
        <w:t>s</w:t>
      </w:r>
      <w:r>
        <w:rPr>
          <w:b w:val="0"/>
        </w:rPr>
        <w:t xml:space="preserve"> </w:t>
      </w:r>
      <w:r w:rsidRPr="00FA036F">
        <w:rPr>
          <w:b w:val="0"/>
        </w:rPr>
        <w:t xml:space="preserve">will be updated to increase the size of the Invoice Number </w:t>
      </w:r>
      <w:r w:rsidR="001E3455">
        <w:rPr>
          <w:b w:val="0"/>
        </w:rPr>
        <w:t xml:space="preserve">header </w:t>
      </w:r>
      <w:r w:rsidRPr="00FA036F">
        <w:rPr>
          <w:b w:val="0"/>
        </w:rPr>
        <w:t>column.</w:t>
      </w:r>
      <w:r w:rsidR="001E3455">
        <w:rPr>
          <w:b w:val="0"/>
        </w:rPr>
        <w:t xml:space="preserve">  Please review change details linked below.</w:t>
      </w:r>
    </w:p>
    <w:p w:rsidR="001E3455" w:rsidP="00FA036F" w14:paraId="11D56488" w14:textId="4F559119">
      <w:pPr>
        <w:pStyle w:val="MeetingDetails"/>
        <w:tabs>
          <w:tab w:val="left" w:pos="0"/>
        </w:tabs>
        <w:ind w:left="360"/>
        <w:contextualSpacing/>
        <w:rPr>
          <w:b w:val="0"/>
        </w:rPr>
      </w:pPr>
    </w:p>
    <w:p w:rsidR="001E3455" w:rsidRPr="00FA036F" w:rsidP="00FA036F" w14:paraId="20AC5775" w14:textId="3BC45C41">
      <w:pPr>
        <w:pStyle w:val="MeetingDetails"/>
        <w:tabs>
          <w:tab w:val="left" w:pos="0"/>
        </w:tabs>
        <w:ind w:left="360"/>
        <w:contextualSpacing/>
        <w:rPr>
          <w:b w:val="0"/>
        </w:rPr>
      </w:pPr>
      <w:hyperlink r:id="rId6" w:history="1">
        <w:r w:rsidRPr="001E3455">
          <w:rPr>
            <w:rStyle w:val="Hyperlink"/>
            <w:b w:val="0"/>
          </w:rPr>
          <w:t>PJM Billing Statement Reports Invoice Number Update</w:t>
        </w:r>
      </w:hyperlink>
    </w:p>
    <w:p w:rsidR="007A59EB" w:rsidRPr="007A59EB" w:rsidP="008A2EA8" w14:paraId="358160F5" w14:textId="4BFB3E14">
      <w:pPr>
        <w:pStyle w:val="MeetingDetails"/>
        <w:tabs>
          <w:tab w:val="left" w:pos="0"/>
        </w:tabs>
        <w:rPr>
          <w:rFonts w:cs="Calibri"/>
        </w:rPr>
      </w:pPr>
    </w:p>
    <w:p w:rsidR="003E1134" w:rsidP="008A2EA8"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096C433E">
      <w:pPr>
        <w:pStyle w:val="ListSubhead1"/>
        <w:numPr>
          <w:ilvl w:val="0"/>
          <w:numId w:val="0"/>
        </w:numPr>
        <w:ind w:left="360"/>
        <w:rPr>
          <w:rStyle w:val="Hyperlink"/>
          <w:b w:val="0"/>
        </w:rPr>
      </w:pPr>
      <w:hyperlink r:id="rId7"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5A5E3D" w:rsidP="007A59EB" w14:paraId="3EA8FF22" w14:textId="4C356737">
      <w:pPr>
        <w:pStyle w:val="ListSubhead1"/>
        <w:numPr>
          <w:ilvl w:val="0"/>
          <w:numId w:val="0"/>
        </w:numPr>
        <w:ind w:left="360"/>
        <w:rPr>
          <w:b w:val="0"/>
          <w:szCs w:val="24"/>
        </w:rPr>
      </w:pPr>
      <w:r w:rsidRPr="00203D88">
        <w:rPr>
          <w:rFonts w:eastAsiaTheme="minorHAnsi" w:cs="Calibri"/>
          <w:b w:val="0"/>
        </w:rPr>
        <w:t xml:space="preserve">Starting in September 2023, PJM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 xml:space="preserve">A comprehensive walkthrough of the PJM/IMM Proposal occurred during the December 9, 2024 MIC Special Session meeting.  </w:t>
      </w:r>
      <w:r w:rsidRPr="00203D88">
        <w:rPr>
          <w:rFonts w:eastAsiaTheme="minorHAnsi" w:cs="Calibri"/>
          <w:b w:val="0"/>
        </w:rPr>
        <w:t xml:space="preserve">Please reference the </w:t>
      </w:r>
      <w:hyperlink r:id="rId8" w:history="1">
        <w:r w:rsidRPr="00203D88">
          <w:rPr>
            <w:rStyle w:val="Hyperlink"/>
            <w:b w:val="0"/>
          </w:rPr>
          <w:t>MIC committee page</w:t>
        </w:r>
      </w:hyperlink>
      <w:r w:rsidR="009D1BEC">
        <w:rPr>
          <w:rFonts w:eastAsiaTheme="minorHAnsi" w:cs="Calibri"/>
          <w:b w:val="0"/>
        </w:rPr>
        <w:t xml:space="preserve"> for past materials.  </w:t>
      </w:r>
      <w:r w:rsidR="00524C1F">
        <w:rPr>
          <w:rFonts w:eastAsiaTheme="minorHAnsi" w:cs="Calibri"/>
          <w:b w:val="0"/>
        </w:rPr>
        <w:t>Committee voting at the April 2,</w:t>
      </w:r>
      <w:r w:rsidR="00D0226C">
        <w:rPr>
          <w:rFonts w:eastAsiaTheme="minorHAnsi" w:cs="Calibri"/>
          <w:b w:val="0"/>
        </w:rPr>
        <w:t xml:space="preserve"> 2025</w:t>
      </w:r>
      <w:r w:rsidR="00524C1F">
        <w:rPr>
          <w:rFonts w:eastAsiaTheme="minorHAnsi" w:cs="Calibri"/>
          <w:b w:val="0"/>
        </w:rPr>
        <w:t xml:space="preserve"> MIC meeting resulted in endorsement of the proposed solution </w:t>
      </w:r>
      <w:r w:rsidR="00524C1F">
        <w:rPr>
          <w:rFonts w:eastAsiaTheme="minorHAnsi" w:cs="Calibri"/>
          <w:b w:val="0"/>
        </w:rPr>
        <w:t xml:space="preserve">package. </w:t>
      </w:r>
      <w:r w:rsidR="00E8212B">
        <w:rPr>
          <w:rFonts w:eastAsiaTheme="minorHAnsi" w:cs="Calibri"/>
          <w:b w:val="0"/>
        </w:rPr>
        <w:t>A first read of the proposed solution was conducted at the</w:t>
      </w:r>
      <w:r w:rsidR="00524C1F">
        <w:rPr>
          <w:rFonts w:eastAsiaTheme="minorHAnsi" w:cs="Calibri"/>
          <w:b w:val="0"/>
        </w:rPr>
        <w:t xml:space="preserve"> </w:t>
      </w:r>
      <w:r w:rsidRPr="00E8212B" w:rsidR="00360237">
        <w:rPr>
          <w:rFonts w:eastAsiaTheme="minorHAnsi" w:cs="Calibri"/>
          <w:b w:val="0"/>
        </w:rPr>
        <w:t>May 21</w:t>
      </w:r>
      <w:r w:rsidRPr="00E8212B" w:rsidR="00D0226C">
        <w:rPr>
          <w:rFonts w:eastAsiaTheme="minorHAnsi" w:cs="Calibri"/>
          <w:b w:val="0"/>
        </w:rPr>
        <w:t>, 2025</w:t>
      </w:r>
      <w:r w:rsidRPr="00E8212B" w:rsidR="00524C1F">
        <w:rPr>
          <w:rFonts w:eastAsiaTheme="minorHAnsi" w:cs="Calibri"/>
          <w:b w:val="0"/>
        </w:rPr>
        <w:t xml:space="preserve"> MRC meeting</w:t>
      </w:r>
      <w:r w:rsidR="00524C1F">
        <w:rPr>
          <w:rFonts w:eastAsiaTheme="minorHAnsi" w:cs="Calibri"/>
          <w:b w:val="0"/>
        </w:rPr>
        <w:t xml:space="preserve">. </w:t>
      </w:r>
      <w:r w:rsidR="00E8212B">
        <w:rPr>
          <w:rFonts w:eastAsiaTheme="minorHAnsi" w:cs="Calibri"/>
          <w:b w:val="0"/>
        </w:rPr>
        <w:t xml:space="preserve"> </w:t>
      </w:r>
      <w:r w:rsidR="007D29A8">
        <w:rPr>
          <w:rFonts w:eastAsiaTheme="minorHAnsi" w:cs="Calibri"/>
          <w:b w:val="0"/>
        </w:rPr>
        <w:t xml:space="preserve">A special MRC Page Turn session was held on June 26, 2025.  </w:t>
      </w:r>
      <w:r w:rsidR="00E8212B">
        <w:rPr>
          <w:rFonts w:eastAsiaTheme="minorHAnsi" w:cs="Calibri"/>
          <w:b w:val="0"/>
        </w:rPr>
        <w:t xml:space="preserve">MRC voting is targeted to take place at the </w:t>
      </w:r>
      <w:hyperlink r:id="rId9" w:history="1">
        <w:r w:rsidR="002A17F5">
          <w:rPr>
            <w:rStyle w:val="Hyperlink"/>
            <w:rFonts w:eastAsiaTheme="minorHAnsi" w:cs="Calibri"/>
            <w:b w:val="0"/>
          </w:rPr>
          <w:t>July 23</w:t>
        </w:r>
        <w:r w:rsidRPr="00E8212B" w:rsidR="00E8212B">
          <w:rPr>
            <w:rStyle w:val="Hyperlink"/>
            <w:rFonts w:eastAsiaTheme="minorHAnsi" w:cs="Calibri"/>
            <w:b w:val="0"/>
          </w:rPr>
          <w:t>, 2025 MRC</w:t>
        </w:r>
      </w:hyperlink>
      <w:r w:rsidR="00E8212B">
        <w:rPr>
          <w:rFonts w:eastAsiaTheme="minorHAnsi" w:cs="Calibri"/>
          <w:b w:val="0"/>
        </w:rPr>
        <w:t xml:space="preserve"> meeting and MC voting targeted for the </w:t>
      </w:r>
      <w:hyperlink r:id="rId10" w:history="1">
        <w:r w:rsidR="002A17F5">
          <w:rPr>
            <w:rStyle w:val="Hyperlink"/>
            <w:rFonts w:eastAsiaTheme="minorHAnsi" w:cs="Calibri"/>
            <w:b w:val="0"/>
          </w:rPr>
          <w:t>August 20</w:t>
        </w:r>
        <w:r w:rsidRPr="00E8212B" w:rsidR="00E8212B">
          <w:rPr>
            <w:rStyle w:val="Hyperlink"/>
            <w:rFonts w:eastAsiaTheme="minorHAnsi" w:cs="Calibri"/>
            <w:b w:val="0"/>
          </w:rPr>
          <w:t>, 2025 MC</w:t>
        </w:r>
      </w:hyperlink>
      <w:r w:rsidR="00E8212B">
        <w:rPr>
          <w:rFonts w:eastAsiaTheme="minorHAnsi" w:cs="Calibri"/>
          <w:b w:val="0"/>
        </w:rPr>
        <w:t xml:space="preserve"> meeting.</w:t>
      </w:r>
    </w:p>
    <w:p w:rsidR="007A59EB" w:rsidRPr="00203D88" w:rsidP="007A59EB" w14:paraId="4CA24F20" w14:textId="7025CEF3">
      <w:pPr>
        <w:pStyle w:val="ListSubhead1"/>
        <w:numPr>
          <w:ilvl w:val="0"/>
          <w:numId w:val="0"/>
        </w:numPr>
        <w:ind w:left="360"/>
        <w:rPr>
          <w:b w:val="0"/>
          <w:szCs w:val="24"/>
        </w:rPr>
      </w:pPr>
      <w:hyperlink r:id="rId11" w:history="1">
        <w:r w:rsidRPr="00F3477F">
          <w:rPr>
            <w:rStyle w:val="Hyperlink"/>
            <w:b w:val="0"/>
            <w:szCs w:val="24"/>
          </w:rPr>
          <w:t>Issue Details</w:t>
        </w:r>
      </w:hyperlink>
    </w:p>
    <w:p w:rsidR="00593F23" w:rsidRPr="00203D88" w:rsidP="0078213E" w14:paraId="12F2FD6C" w14:textId="725734CE">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2A4170CA">
      <w:pPr>
        <w:pStyle w:val="ListParagraph"/>
        <w:ind w:left="360"/>
        <w:contextualSpacing w:val="0"/>
        <w:rPr>
          <w:rFonts w:ascii="Arial Narrow" w:hAnsi="Arial Narrow" w:cs="Calibri"/>
          <w:sz w:val="24"/>
          <w:szCs w:val="24"/>
        </w:rPr>
      </w:pPr>
      <w:r>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Pr>
          <w:rFonts w:ascii="Arial Narrow" w:hAnsi="Arial Narrow" w:cs="Calibri"/>
          <w:sz w:val="24"/>
          <w:szCs w:val="24"/>
        </w:rPr>
        <w:t>s</w:t>
      </w:r>
      <w:r w:rsidRPr="00203D88">
        <w:rPr>
          <w:rFonts w:ascii="Arial Narrow" w:hAnsi="Arial Narrow" w:cs="Calibri"/>
          <w:sz w:val="24"/>
          <w:szCs w:val="24"/>
        </w:rPr>
        <w:t xml:space="preserve"> </w:t>
      </w:r>
      <w:r>
        <w:rPr>
          <w:rFonts w:ascii="Arial Narrow" w:hAnsi="Arial Narrow" w:cs="Calibri"/>
          <w:sz w:val="24"/>
          <w:szCs w:val="24"/>
        </w:rPr>
        <w:t>were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964482">
        <w:rPr>
          <w:rFonts w:ascii="Arial Narrow" w:hAnsi="Arial Narrow" w:cs="Calibri"/>
          <w:sz w:val="24"/>
          <w:szCs w:val="24"/>
        </w:rPr>
        <w:t>June</w:t>
      </w:r>
      <w:r w:rsidR="007A59EB">
        <w:rPr>
          <w:rFonts w:ascii="Arial Narrow" w:hAnsi="Arial Narrow" w:cs="Calibri"/>
          <w:sz w:val="24"/>
          <w:szCs w:val="24"/>
        </w:rPr>
        <w:t xml:space="preserve"> 2025</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29FD3A2E">
      <w:pPr>
        <w:pStyle w:val="ListParagraph"/>
        <w:ind w:left="360"/>
        <w:rPr>
          <w:rFonts w:ascii="Arial Narrow" w:hAnsi="Arial Narrow" w:cs="Calibri"/>
        </w:rPr>
      </w:pPr>
      <w:hyperlink r:id="rId12"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00ABE453" w14:textId="77777777" w:rsidTr="00714EA7">
        <w:tblPrEx>
          <w:tblW w:w="0" w:type="auto"/>
          <w:tblLook w:val="04A0"/>
        </w:tblPrEx>
        <w:tc>
          <w:tcPr>
            <w:tcW w:w="3115" w:type="dxa"/>
            <w:shd w:val="clear" w:color="auto" w:fill="000000" w:themeFill="text1"/>
            <w:vAlign w:val="bottom"/>
          </w:tcPr>
          <w:p w:rsidR="00714EA7" w:rsidP="00714EA7" w14:paraId="75658464" w14:textId="251DE212">
            <w:pPr>
              <w:pStyle w:val="NormalWeb"/>
              <w:spacing w:before="0" w:beforeAutospacing="0" w:after="0" w:afterAutospacing="0"/>
              <w:rPr>
                <w:rFonts w:ascii="Arial Narrow" w:hAnsi="Arial Narrow"/>
                <w:sz w:val="18"/>
                <w:szCs w:val="18"/>
              </w:rPr>
            </w:pPr>
            <w:r w:rsidRPr="00BB6921">
              <w:rPr>
                <w:sz w:val="19"/>
                <w:szCs w:val="19"/>
              </w:rPr>
              <w:t>Date</w:t>
            </w:r>
          </w:p>
        </w:tc>
        <w:tc>
          <w:tcPr>
            <w:tcW w:w="3110" w:type="dxa"/>
            <w:shd w:val="clear" w:color="auto" w:fill="000000" w:themeFill="text1"/>
            <w:vAlign w:val="bottom"/>
          </w:tcPr>
          <w:p w:rsidR="00714EA7" w:rsidP="00714EA7" w14:paraId="5294F6C0" w14:textId="0676A3C2">
            <w:pPr>
              <w:pStyle w:val="NormalWeb"/>
              <w:spacing w:before="0" w:beforeAutospacing="0" w:after="0" w:afterAutospacing="0"/>
              <w:rPr>
                <w:rFonts w:ascii="Arial Narrow" w:hAnsi="Arial Narrow"/>
                <w:sz w:val="18"/>
                <w:szCs w:val="18"/>
              </w:rPr>
            </w:pPr>
            <w:r w:rsidRPr="00BB6921">
              <w:rPr>
                <w:sz w:val="19"/>
                <w:szCs w:val="19"/>
              </w:rPr>
              <w:t>Time</w:t>
            </w:r>
          </w:p>
        </w:tc>
        <w:tc>
          <w:tcPr>
            <w:tcW w:w="3125" w:type="dxa"/>
            <w:shd w:val="clear" w:color="auto" w:fill="000000" w:themeFill="text1"/>
            <w:vAlign w:val="bottom"/>
          </w:tcPr>
          <w:p w:rsidR="00714EA7" w:rsidP="00714EA7" w14:paraId="37CAF87F" w14:textId="10750D71">
            <w:pPr>
              <w:pStyle w:val="NormalWeb"/>
              <w:spacing w:before="0" w:beforeAutospacing="0" w:after="0" w:afterAutospacing="0"/>
              <w:rPr>
                <w:rFonts w:ascii="Arial Narrow" w:hAnsi="Arial Narrow"/>
                <w:sz w:val="18"/>
                <w:szCs w:val="18"/>
              </w:rPr>
            </w:pPr>
            <w:r w:rsidRPr="00BB6921">
              <w:rPr>
                <w:sz w:val="19"/>
                <w:szCs w:val="19"/>
              </w:rPr>
              <w:t>Location</w:t>
            </w:r>
          </w:p>
        </w:tc>
      </w:tr>
      <w:tr w14:paraId="2F6C61AE" w14:textId="77777777" w:rsidTr="004B1A71">
        <w:tblPrEx>
          <w:tblW w:w="0" w:type="auto"/>
          <w:tblLook w:val="04A0"/>
        </w:tblPrEx>
        <w:tc>
          <w:tcPr>
            <w:tcW w:w="3115" w:type="dxa"/>
          </w:tcPr>
          <w:p w:rsidR="004E2BBE" w:rsidP="00CD7076" w14:paraId="20B1B7FF" w14:textId="4AB07122">
            <w:pPr>
              <w:pStyle w:val="NormalWeb"/>
              <w:spacing w:before="0" w:beforeAutospacing="0" w:after="0" w:afterAutospacing="0"/>
              <w:rPr>
                <w:rFonts w:ascii="Arial Narrow" w:hAnsi="Arial Narrow"/>
                <w:sz w:val="18"/>
                <w:szCs w:val="18"/>
              </w:rPr>
            </w:pPr>
            <w:r>
              <w:rPr>
                <w:rFonts w:ascii="Arial Narrow" w:hAnsi="Arial Narrow"/>
                <w:sz w:val="18"/>
                <w:szCs w:val="18"/>
              </w:rPr>
              <w:t>August 11, 2025</w:t>
            </w:r>
          </w:p>
        </w:tc>
        <w:tc>
          <w:tcPr>
            <w:tcW w:w="3110" w:type="dxa"/>
          </w:tcPr>
          <w:p w:rsidR="004E2BBE" w:rsidP="00CD7076" w14:paraId="5CEC875A" w14:textId="4968263D">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4E2BBE" w:rsidP="00CD7076" w14:paraId="7911801A" w14:textId="6B54945B">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200631BA" w14:textId="77777777" w:rsidTr="004B1A71">
        <w:tblPrEx>
          <w:tblW w:w="0" w:type="auto"/>
          <w:tblLook w:val="04A0"/>
        </w:tblPrEx>
        <w:tc>
          <w:tcPr>
            <w:tcW w:w="3115" w:type="dxa"/>
          </w:tcPr>
          <w:p w:rsidR="00AE4904" w:rsidP="00CD7076" w14:paraId="19C9BD7E" w14:textId="4A0AAF0D">
            <w:pPr>
              <w:pStyle w:val="NormalWeb"/>
              <w:spacing w:before="0" w:beforeAutospacing="0" w:after="0" w:afterAutospacing="0"/>
              <w:rPr>
                <w:rFonts w:ascii="Arial Narrow" w:hAnsi="Arial Narrow"/>
                <w:sz w:val="18"/>
                <w:szCs w:val="18"/>
              </w:rPr>
            </w:pPr>
            <w:r>
              <w:rPr>
                <w:rFonts w:ascii="Arial Narrow" w:hAnsi="Arial Narrow"/>
                <w:sz w:val="18"/>
                <w:szCs w:val="18"/>
              </w:rPr>
              <w:t>September 15, 2025</w:t>
            </w:r>
          </w:p>
        </w:tc>
        <w:tc>
          <w:tcPr>
            <w:tcW w:w="3110" w:type="dxa"/>
          </w:tcPr>
          <w:p w:rsidR="00AE4904" w:rsidP="00CD7076" w14:paraId="6B774E48" w14:textId="3BF56B43">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AE4904" w:rsidP="00CD7076" w14:paraId="5B03133F" w14:textId="7329016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2ADE9C3A" w14:textId="77777777" w:rsidTr="004B1A71">
        <w:tblPrEx>
          <w:tblW w:w="0" w:type="auto"/>
          <w:tblLook w:val="04A0"/>
        </w:tblPrEx>
        <w:tc>
          <w:tcPr>
            <w:tcW w:w="3115" w:type="dxa"/>
          </w:tcPr>
          <w:p w:rsidR="00AE4904" w:rsidP="00CD7076" w14:paraId="068AD2C6" w14:textId="408CF170">
            <w:pPr>
              <w:pStyle w:val="NormalWeb"/>
              <w:spacing w:before="0" w:beforeAutospacing="0" w:after="0" w:afterAutospacing="0"/>
              <w:rPr>
                <w:rFonts w:ascii="Arial Narrow" w:hAnsi="Arial Narrow"/>
                <w:sz w:val="18"/>
                <w:szCs w:val="18"/>
              </w:rPr>
            </w:pPr>
            <w:r>
              <w:rPr>
                <w:rFonts w:ascii="Arial Narrow" w:hAnsi="Arial Narrow"/>
                <w:sz w:val="18"/>
                <w:szCs w:val="18"/>
              </w:rPr>
              <w:t>October 14, 2025</w:t>
            </w:r>
          </w:p>
        </w:tc>
        <w:tc>
          <w:tcPr>
            <w:tcW w:w="3110" w:type="dxa"/>
          </w:tcPr>
          <w:p w:rsidR="00AE4904" w:rsidP="00CD7076" w14:paraId="16C49C98" w14:textId="4F668827">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AE4904" w:rsidP="00CD7076" w14:paraId="0FB84292" w14:textId="41C6946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BAEECB1" w14:textId="77777777" w:rsidTr="004B1A71">
        <w:tblPrEx>
          <w:tblW w:w="0" w:type="auto"/>
          <w:tblLook w:val="04A0"/>
        </w:tblPrEx>
        <w:tc>
          <w:tcPr>
            <w:tcW w:w="3115" w:type="dxa"/>
          </w:tcPr>
          <w:p w:rsidR="00714EA7" w:rsidP="00CD7076" w14:paraId="63EC0528" w14:textId="541FCD97">
            <w:pPr>
              <w:pStyle w:val="NormalWeb"/>
              <w:spacing w:before="0" w:beforeAutospacing="0" w:after="0" w:afterAutospacing="0"/>
              <w:rPr>
                <w:rFonts w:ascii="Arial Narrow" w:hAnsi="Arial Narrow"/>
                <w:sz w:val="18"/>
                <w:szCs w:val="18"/>
              </w:rPr>
            </w:pPr>
            <w:r>
              <w:rPr>
                <w:rFonts w:ascii="Arial Narrow" w:hAnsi="Arial Narrow"/>
                <w:sz w:val="18"/>
                <w:szCs w:val="18"/>
              </w:rPr>
              <w:t>November 11, 2025</w:t>
            </w:r>
          </w:p>
        </w:tc>
        <w:tc>
          <w:tcPr>
            <w:tcW w:w="3110" w:type="dxa"/>
          </w:tcPr>
          <w:p w:rsidR="00714EA7" w:rsidP="00CD7076" w14:paraId="708EC40B" w14:textId="2FDE0635">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714EA7" w:rsidP="00CD7076" w14:paraId="3003C525" w14:textId="788C0C9C">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ED14F4" w:rsidP="00ED14F4" w14:paraId="6860B3D4"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6F479BFE" w14:textId="77777777" w:rsidTr="00775E0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ED14F4" w:rsidRPr="00095E8F" w:rsidP="00775E0A" w14:paraId="60DFAA59"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ED14F4" w:rsidP="00775E0A" w14:paraId="7F970C78"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ED14F4" w:rsidRPr="00095E8F" w:rsidP="00775E0A" w14:paraId="60C64643"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ED14F4" w:rsidRPr="00095E8F" w:rsidP="00775E0A" w14:paraId="31825D1F"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ED14F4" w:rsidRPr="00095E8F" w:rsidP="00775E0A" w14:paraId="713B2D8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ED14F4" w:rsidRPr="00095E8F" w:rsidP="00775E0A" w14:paraId="064D6D08"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ED14F4" w:rsidRPr="00095E8F" w:rsidP="00775E0A" w14:paraId="635C842D"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ED14F4" w:rsidP="00ED14F4" w14:paraId="293863D3"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ED14F4" w:rsidP="00ED14F4" w14:paraId="735A5590"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3" w:history="1">
        <w:r w:rsidRPr="0080148F">
          <w:rPr>
            <w:rStyle w:val="Hyperlink"/>
          </w:rPr>
          <w:t>PJM’s Antitrust Guidelines for Stakeholder Meetings</w:t>
        </w:r>
      </w:hyperlink>
      <w:r w:rsidRPr="00FF5170">
        <w:t xml:space="preserve">, </w:t>
      </w:r>
      <w:r>
        <w:t xml:space="preserve">which are posted on PJM’s </w:t>
      </w:r>
      <w:hyperlink r:id="rId14" w:history="1">
        <w:r w:rsidRPr="00095E8F">
          <w:rPr>
            <w:rStyle w:val="Hyperlink"/>
          </w:rPr>
          <w:t>Committees and Groups page</w:t>
        </w:r>
      </w:hyperlink>
      <w:r>
        <w:t>.</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5"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200D1060">
      <w:pPr>
        <w:pStyle w:val="DisclaimerBodyCopy"/>
      </w:pPr>
      <w:r>
        <w:t>PJM support staff continuously monitors WebEx connections during stakeholder meetings. Anonymous users or those using false usernames or emails will be dropped from the teleconference.</w:t>
      </w:r>
    </w:p>
    <w:p w:rsidR="00555827" w:rsidP="00027F49" w14:paraId="3039FFD4" w14:textId="3894177F">
      <w:pPr>
        <w:pStyle w:val="DisclaimerBodyCopy"/>
      </w:pPr>
    </w:p>
    <w:p w:rsidR="00555827" w:rsidRPr="00AE7D63" w:rsidP="00555827" w14:paraId="289A99E8" w14:textId="77777777">
      <w:pPr>
        <w:pStyle w:val="DisclosureBody"/>
        <w:rPr>
          <w:b/>
          <w:color w:val="013C59"/>
        </w:rPr>
      </w:pPr>
      <w:r w:rsidRPr="00AE7D63">
        <w:rPr>
          <w:b/>
          <w:color w:val="013C59"/>
        </w:rPr>
        <w:t xml:space="preserve">Participant Use of </w:t>
      </w:r>
      <w:r w:rsidRPr="00AE7D63">
        <w:rPr>
          <w:b/>
          <w:color w:val="013C59"/>
        </w:rPr>
        <w:t>Webex</w:t>
      </w:r>
      <w:r w:rsidRPr="00AE7D63">
        <w:rPr>
          <w:b/>
          <w:color w:val="013C59"/>
        </w:rPr>
        <w:t xml:space="preserve"> Chat:</w:t>
      </w:r>
    </w:p>
    <w:p w:rsidR="00555827" w:rsidP="00555827" w14:paraId="4E0F2EEC" w14:textId="77777777">
      <w:pPr>
        <w:pStyle w:val="DisclosureBody"/>
      </w:pPr>
      <w:r w:rsidRPr="00AE7D63">
        <w:t xml:space="preserve">The use of the </w:t>
      </w:r>
      <w:r w:rsidRPr="00AE7D63">
        <w:t>Webex</w:t>
      </w:r>
      <w:r w:rsidRPr="00AE7D63">
        <w:t xml:space="preserve"> chat feature during meetings shall be primarily reserved for administrative and logistical purposes, such as managing a question or comment queue, noting technical difficulties, and meeting support or management purposes. Utilizing </w:t>
      </w:r>
      <w:r w:rsidRPr="00AE7D63">
        <w:t>Webex</w:t>
      </w:r>
      <w:r w:rsidRPr="00AE7D63">
        <w:t xml:space="preserve"> chat for any other commentary should be limited to short phrases. Detailed commentary or substantive dialogue shall be shared orally by entering the speaker queue. </w:t>
      </w:r>
    </w:p>
    <w:p w:rsidR="00555827" w:rsidP="00027F49" w14:paraId="245646DE" w14:textId="77777777">
      <w:pPr>
        <w:pStyle w:val="DisclaimerBodyCopy"/>
      </w:pP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7"/>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20"/>
      <w:footerReference w:type="even" r:id="rId21"/>
      <w:footerReference w:type="default" r:id="rId2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0EB42C3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0909">
      <w:rPr>
        <w:rStyle w:val="PageNumber"/>
        <w:noProof/>
      </w:rPr>
      <w:t>3</w:t>
    </w:r>
    <w:r>
      <w:rPr>
        <w:rStyle w:val="PageNumber"/>
      </w:rPr>
      <w:fldChar w:fldCharType="end"/>
    </w:r>
  </w:p>
  <w:bookmarkStart w:id="1" w:name="OLE_LINK1"/>
  <w:p w:rsidR="00B62597" w:rsidRPr="001678E8" w14:paraId="3D1CCC2D" w14:textId="2FB324F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D93693">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4E4EE049">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73FF">
      <w:rPr>
        <w:szCs w:val="17"/>
      </w:rPr>
      <w:t>July</w:t>
    </w:r>
    <w:r w:rsidR="00203A06">
      <w:rPr>
        <w:szCs w:val="17"/>
      </w:rPr>
      <w:t xml:space="preserve"> </w:t>
    </w:r>
    <w:r w:rsidR="00AA2380">
      <w:t xml:space="preserve"> </w:t>
    </w:r>
    <w:r w:rsidR="003D0909">
      <w:t>14</w:t>
    </w:r>
    <w:r w:rsidR="00D9369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1">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5"/>
  </w:num>
  <w:num w:numId="10">
    <w:abstractNumId w:val="0"/>
  </w:num>
  <w:num w:numId="11">
    <w:abstractNumId w:val="6"/>
  </w:num>
  <w:num w:numId="12">
    <w:abstractNumId w:val="2"/>
  </w:num>
  <w:num w:numId="13">
    <w:abstractNumId w:val="14"/>
  </w:num>
  <w:num w:numId="14">
    <w:abstractNumId w:val="15"/>
  </w:num>
  <w:num w:numId="15">
    <w:abstractNumId w:val="3"/>
  </w:num>
  <w:num w:numId="16">
    <w:abstractNumId w:val="11"/>
  </w:num>
  <w:num w:numId="17">
    <w:abstractNumId w:val="16"/>
  </w:num>
  <w:num w:numId="18">
    <w:abstractNumId w:val="13"/>
  </w:num>
  <w:num w:numId="19">
    <w:abstractNumId w:val="6"/>
  </w:num>
  <w:num w:numId="20">
    <w:abstractNumId w:val="10"/>
  </w:num>
  <w:num w:numId="21">
    <w:abstractNumId w:val="20"/>
  </w:num>
  <w:num w:numId="22">
    <w:abstractNumId w:val="12"/>
  </w:num>
  <w:num w:numId="23">
    <w:abstractNumId w:val="1"/>
  </w:num>
  <w:num w:numId="24">
    <w:abstractNumId w:val="4"/>
  </w:num>
  <w:num w:numId="25">
    <w:abstractNumId w:val="7"/>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86EEA"/>
    <w:rsid w:val="00092135"/>
    <w:rsid w:val="00095361"/>
    <w:rsid w:val="00095E8F"/>
    <w:rsid w:val="000A148E"/>
    <w:rsid w:val="000B5B36"/>
    <w:rsid w:val="000C6122"/>
    <w:rsid w:val="000D0582"/>
    <w:rsid w:val="000D12F1"/>
    <w:rsid w:val="000D4565"/>
    <w:rsid w:val="000D5C90"/>
    <w:rsid w:val="000E058A"/>
    <w:rsid w:val="000E14E6"/>
    <w:rsid w:val="000E470D"/>
    <w:rsid w:val="000E5711"/>
    <w:rsid w:val="000E6D7C"/>
    <w:rsid w:val="000E7463"/>
    <w:rsid w:val="000E78CC"/>
    <w:rsid w:val="000E7A10"/>
    <w:rsid w:val="000F22EE"/>
    <w:rsid w:val="0010053A"/>
    <w:rsid w:val="00101DE6"/>
    <w:rsid w:val="001057FD"/>
    <w:rsid w:val="00115C4E"/>
    <w:rsid w:val="001328DA"/>
    <w:rsid w:val="00137F8C"/>
    <w:rsid w:val="001401F8"/>
    <w:rsid w:val="001431B1"/>
    <w:rsid w:val="001516EA"/>
    <w:rsid w:val="0016375F"/>
    <w:rsid w:val="00165435"/>
    <w:rsid w:val="00167682"/>
    <w:rsid w:val="001678E8"/>
    <w:rsid w:val="0017281A"/>
    <w:rsid w:val="00172D97"/>
    <w:rsid w:val="0017609D"/>
    <w:rsid w:val="00177BFB"/>
    <w:rsid w:val="00184B61"/>
    <w:rsid w:val="0018625E"/>
    <w:rsid w:val="00187300"/>
    <w:rsid w:val="00187507"/>
    <w:rsid w:val="001970F3"/>
    <w:rsid w:val="001A0199"/>
    <w:rsid w:val="001A4554"/>
    <w:rsid w:val="001B2242"/>
    <w:rsid w:val="001C0CC0"/>
    <w:rsid w:val="001C46A8"/>
    <w:rsid w:val="001D3B68"/>
    <w:rsid w:val="001D5AB3"/>
    <w:rsid w:val="001D6600"/>
    <w:rsid w:val="001E3455"/>
    <w:rsid w:val="001E6DDF"/>
    <w:rsid w:val="00203A06"/>
    <w:rsid w:val="00203D88"/>
    <w:rsid w:val="002113BD"/>
    <w:rsid w:val="00223858"/>
    <w:rsid w:val="00236DEE"/>
    <w:rsid w:val="00240490"/>
    <w:rsid w:val="00246EAA"/>
    <w:rsid w:val="0025139E"/>
    <w:rsid w:val="00252319"/>
    <w:rsid w:val="00254D56"/>
    <w:rsid w:val="0026067C"/>
    <w:rsid w:val="00262844"/>
    <w:rsid w:val="0026628E"/>
    <w:rsid w:val="0028534F"/>
    <w:rsid w:val="00286838"/>
    <w:rsid w:val="002A17F5"/>
    <w:rsid w:val="002B2F98"/>
    <w:rsid w:val="002C1066"/>
    <w:rsid w:val="002C418F"/>
    <w:rsid w:val="002C6057"/>
    <w:rsid w:val="002E67AA"/>
    <w:rsid w:val="002F44DA"/>
    <w:rsid w:val="003009F3"/>
    <w:rsid w:val="00305238"/>
    <w:rsid w:val="003109D2"/>
    <w:rsid w:val="00316B2B"/>
    <w:rsid w:val="003205FB"/>
    <w:rsid w:val="00321A5D"/>
    <w:rsid w:val="003234D8"/>
    <w:rsid w:val="003251CE"/>
    <w:rsid w:val="00327D85"/>
    <w:rsid w:val="00337321"/>
    <w:rsid w:val="00340D83"/>
    <w:rsid w:val="003442E8"/>
    <w:rsid w:val="0034523B"/>
    <w:rsid w:val="00345732"/>
    <w:rsid w:val="00351032"/>
    <w:rsid w:val="0035641C"/>
    <w:rsid w:val="00360237"/>
    <w:rsid w:val="00380E7A"/>
    <w:rsid w:val="00382A30"/>
    <w:rsid w:val="003914CC"/>
    <w:rsid w:val="0039179E"/>
    <w:rsid w:val="003937F9"/>
    <w:rsid w:val="003A168F"/>
    <w:rsid w:val="003A764F"/>
    <w:rsid w:val="003B2EBC"/>
    <w:rsid w:val="003B55E1"/>
    <w:rsid w:val="003C12B2"/>
    <w:rsid w:val="003D0909"/>
    <w:rsid w:val="003D7CE3"/>
    <w:rsid w:val="003D7E5C"/>
    <w:rsid w:val="003E1134"/>
    <w:rsid w:val="003E7A73"/>
    <w:rsid w:val="004030D2"/>
    <w:rsid w:val="00410218"/>
    <w:rsid w:val="004104A9"/>
    <w:rsid w:val="00410F6A"/>
    <w:rsid w:val="00414BFC"/>
    <w:rsid w:val="004340D4"/>
    <w:rsid w:val="00453611"/>
    <w:rsid w:val="00454B11"/>
    <w:rsid w:val="00454C0D"/>
    <w:rsid w:val="0046043F"/>
    <w:rsid w:val="00477113"/>
    <w:rsid w:val="00484349"/>
    <w:rsid w:val="00490A33"/>
    <w:rsid w:val="00491490"/>
    <w:rsid w:val="00494494"/>
    <w:rsid w:val="004969FA"/>
    <w:rsid w:val="004A264B"/>
    <w:rsid w:val="004A62DA"/>
    <w:rsid w:val="004B1A71"/>
    <w:rsid w:val="004B38D8"/>
    <w:rsid w:val="004B73FF"/>
    <w:rsid w:val="004C6D3B"/>
    <w:rsid w:val="004D4BE6"/>
    <w:rsid w:val="004D5EF2"/>
    <w:rsid w:val="004E0E26"/>
    <w:rsid w:val="004E2A61"/>
    <w:rsid w:val="004E2BBE"/>
    <w:rsid w:val="004E4EC5"/>
    <w:rsid w:val="005051BB"/>
    <w:rsid w:val="0050777E"/>
    <w:rsid w:val="005109FF"/>
    <w:rsid w:val="00511C42"/>
    <w:rsid w:val="00524C1F"/>
    <w:rsid w:val="00527104"/>
    <w:rsid w:val="0054785E"/>
    <w:rsid w:val="005523DD"/>
    <w:rsid w:val="00555827"/>
    <w:rsid w:val="00562CA4"/>
    <w:rsid w:val="0056402F"/>
    <w:rsid w:val="00564DEE"/>
    <w:rsid w:val="005652FA"/>
    <w:rsid w:val="0057441E"/>
    <w:rsid w:val="00577701"/>
    <w:rsid w:val="00581DA2"/>
    <w:rsid w:val="00593F23"/>
    <w:rsid w:val="005968E4"/>
    <w:rsid w:val="005A5D0D"/>
    <w:rsid w:val="005A5E3D"/>
    <w:rsid w:val="005A7D4D"/>
    <w:rsid w:val="005B2583"/>
    <w:rsid w:val="005C579D"/>
    <w:rsid w:val="005D2150"/>
    <w:rsid w:val="005D6D05"/>
    <w:rsid w:val="005E4DB4"/>
    <w:rsid w:val="005F21E3"/>
    <w:rsid w:val="006024A0"/>
    <w:rsid w:val="00602967"/>
    <w:rsid w:val="00605EFE"/>
    <w:rsid w:val="00606F11"/>
    <w:rsid w:val="006209D9"/>
    <w:rsid w:val="00647B1E"/>
    <w:rsid w:val="0065586E"/>
    <w:rsid w:val="0066581F"/>
    <w:rsid w:val="00665898"/>
    <w:rsid w:val="006773A2"/>
    <w:rsid w:val="006846D4"/>
    <w:rsid w:val="006A0365"/>
    <w:rsid w:val="006A76FE"/>
    <w:rsid w:val="006B01C8"/>
    <w:rsid w:val="006B7030"/>
    <w:rsid w:val="006C7DFB"/>
    <w:rsid w:val="006D3A13"/>
    <w:rsid w:val="006E4ECD"/>
    <w:rsid w:val="006E6B35"/>
    <w:rsid w:val="006E7B6B"/>
    <w:rsid w:val="006F4608"/>
    <w:rsid w:val="006F7A52"/>
    <w:rsid w:val="0070472F"/>
    <w:rsid w:val="00712CAA"/>
    <w:rsid w:val="00714EA7"/>
    <w:rsid w:val="00716A8B"/>
    <w:rsid w:val="00716B91"/>
    <w:rsid w:val="00726147"/>
    <w:rsid w:val="0073468C"/>
    <w:rsid w:val="00744A45"/>
    <w:rsid w:val="00754C6D"/>
    <w:rsid w:val="00755096"/>
    <w:rsid w:val="00761D9D"/>
    <w:rsid w:val="00765572"/>
    <w:rsid w:val="007703B4"/>
    <w:rsid w:val="0077594C"/>
    <w:rsid w:val="00775E0A"/>
    <w:rsid w:val="00776910"/>
    <w:rsid w:val="0078213E"/>
    <w:rsid w:val="007849E3"/>
    <w:rsid w:val="0078570A"/>
    <w:rsid w:val="00786D64"/>
    <w:rsid w:val="00790F25"/>
    <w:rsid w:val="007A2201"/>
    <w:rsid w:val="007A34A3"/>
    <w:rsid w:val="007A4F0F"/>
    <w:rsid w:val="007A59EB"/>
    <w:rsid w:val="007B7710"/>
    <w:rsid w:val="007C2047"/>
    <w:rsid w:val="007C2954"/>
    <w:rsid w:val="007C3F99"/>
    <w:rsid w:val="007D0E9F"/>
    <w:rsid w:val="007D29A8"/>
    <w:rsid w:val="007D4F70"/>
    <w:rsid w:val="007D7F1C"/>
    <w:rsid w:val="007E20E5"/>
    <w:rsid w:val="007E7CAB"/>
    <w:rsid w:val="007F3787"/>
    <w:rsid w:val="007F6F00"/>
    <w:rsid w:val="0080148F"/>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A2EA8"/>
    <w:rsid w:val="008D4BFC"/>
    <w:rsid w:val="008D65A9"/>
    <w:rsid w:val="008D6CD8"/>
    <w:rsid w:val="008E3266"/>
    <w:rsid w:val="008E34BA"/>
    <w:rsid w:val="008E37F7"/>
    <w:rsid w:val="008E456B"/>
    <w:rsid w:val="008E74D7"/>
    <w:rsid w:val="008F0469"/>
    <w:rsid w:val="008F51F2"/>
    <w:rsid w:val="008F6EDB"/>
    <w:rsid w:val="00912528"/>
    <w:rsid w:val="00917386"/>
    <w:rsid w:val="00921EE0"/>
    <w:rsid w:val="009243BE"/>
    <w:rsid w:val="009473FE"/>
    <w:rsid w:val="00950957"/>
    <w:rsid w:val="00956D5B"/>
    <w:rsid w:val="00964482"/>
    <w:rsid w:val="0096473D"/>
    <w:rsid w:val="0097354A"/>
    <w:rsid w:val="009837F6"/>
    <w:rsid w:val="00985276"/>
    <w:rsid w:val="009855E4"/>
    <w:rsid w:val="00991528"/>
    <w:rsid w:val="009924EE"/>
    <w:rsid w:val="009A2D5A"/>
    <w:rsid w:val="009A2EE8"/>
    <w:rsid w:val="009A5430"/>
    <w:rsid w:val="009B3541"/>
    <w:rsid w:val="009C15C4"/>
    <w:rsid w:val="009D1BEC"/>
    <w:rsid w:val="009D51B1"/>
    <w:rsid w:val="009D6C54"/>
    <w:rsid w:val="009D7FB8"/>
    <w:rsid w:val="009E3CE7"/>
    <w:rsid w:val="009F36D4"/>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75E37"/>
    <w:rsid w:val="00A973D0"/>
    <w:rsid w:val="00AA0539"/>
    <w:rsid w:val="00AA2380"/>
    <w:rsid w:val="00AB5254"/>
    <w:rsid w:val="00AB6654"/>
    <w:rsid w:val="00AC2247"/>
    <w:rsid w:val="00AD2708"/>
    <w:rsid w:val="00AD2B3F"/>
    <w:rsid w:val="00AE4870"/>
    <w:rsid w:val="00AE4904"/>
    <w:rsid w:val="00AE7D63"/>
    <w:rsid w:val="00B16D95"/>
    <w:rsid w:val="00B20316"/>
    <w:rsid w:val="00B223CE"/>
    <w:rsid w:val="00B22F9A"/>
    <w:rsid w:val="00B34E3C"/>
    <w:rsid w:val="00B379F4"/>
    <w:rsid w:val="00B42AF4"/>
    <w:rsid w:val="00B54D49"/>
    <w:rsid w:val="00B62597"/>
    <w:rsid w:val="00B62E32"/>
    <w:rsid w:val="00B66E13"/>
    <w:rsid w:val="00B77E1E"/>
    <w:rsid w:val="00B8042D"/>
    <w:rsid w:val="00B9039E"/>
    <w:rsid w:val="00B963AF"/>
    <w:rsid w:val="00BA2595"/>
    <w:rsid w:val="00BA6146"/>
    <w:rsid w:val="00BA7ADD"/>
    <w:rsid w:val="00BB531B"/>
    <w:rsid w:val="00BB638E"/>
    <w:rsid w:val="00BB6921"/>
    <w:rsid w:val="00BF09DA"/>
    <w:rsid w:val="00BF331B"/>
    <w:rsid w:val="00BF40FF"/>
    <w:rsid w:val="00C10306"/>
    <w:rsid w:val="00C1535F"/>
    <w:rsid w:val="00C20FA3"/>
    <w:rsid w:val="00C25FC6"/>
    <w:rsid w:val="00C30400"/>
    <w:rsid w:val="00C307E9"/>
    <w:rsid w:val="00C35D4B"/>
    <w:rsid w:val="00C439EC"/>
    <w:rsid w:val="00C45666"/>
    <w:rsid w:val="00C47C26"/>
    <w:rsid w:val="00C52F00"/>
    <w:rsid w:val="00C5307B"/>
    <w:rsid w:val="00C6404D"/>
    <w:rsid w:val="00C72168"/>
    <w:rsid w:val="00C757F4"/>
    <w:rsid w:val="00C75A9D"/>
    <w:rsid w:val="00C767C6"/>
    <w:rsid w:val="00C81647"/>
    <w:rsid w:val="00CA343D"/>
    <w:rsid w:val="00CA49B9"/>
    <w:rsid w:val="00CB19DE"/>
    <w:rsid w:val="00CB475B"/>
    <w:rsid w:val="00CB5B6C"/>
    <w:rsid w:val="00CC1B47"/>
    <w:rsid w:val="00CC58D2"/>
    <w:rsid w:val="00CD5C03"/>
    <w:rsid w:val="00CD7076"/>
    <w:rsid w:val="00CD7DD4"/>
    <w:rsid w:val="00CE7070"/>
    <w:rsid w:val="00CF1BC7"/>
    <w:rsid w:val="00CF1F6F"/>
    <w:rsid w:val="00CF313E"/>
    <w:rsid w:val="00CF5308"/>
    <w:rsid w:val="00D0134E"/>
    <w:rsid w:val="00D0226C"/>
    <w:rsid w:val="00D06EC8"/>
    <w:rsid w:val="00D07424"/>
    <w:rsid w:val="00D136EA"/>
    <w:rsid w:val="00D13806"/>
    <w:rsid w:val="00D24EDF"/>
    <w:rsid w:val="00D251ED"/>
    <w:rsid w:val="00D32F1F"/>
    <w:rsid w:val="00D37C74"/>
    <w:rsid w:val="00D42220"/>
    <w:rsid w:val="00D43667"/>
    <w:rsid w:val="00D44F41"/>
    <w:rsid w:val="00D44FD9"/>
    <w:rsid w:val="00D520B6"/>
    <w:rsid w:val="00D52CDA"/>
    <w:rsid w:val="00D66879"/>
    <w:rsid w:val="00D71E9B"/>
    <w:rsid w:val="00D77189"/>
    <w:rsid w:val="00D831E4"/>
    <w:rsid w:val="00D83905"/>
    <w:rsid w:val="00D84811"/>
    <w:rsid w:val="00D8542D"/>
    <w:rsid w:val="00D8710C"/>
    <w:rsid w:val="00D93693"/>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12B"/>
    <w:rsid w:val="00E82F42"/>
    <w:rsid w:val="00E87348"/>
    <w:rsid w:val="00E91714"/>
    <w:rsid w:val="00EA027A"/>
    <w:rsid w:val="00EA0484"/>
    <w:rsid w:val="00EA66F6"/>
    <w:rsid w:val="00EB0D01"/>
    <w:rsid w:val="00EB3232"/>
    <w:rsid w:val="00EB68B0"/>
    <w:rsid w:val="00ED14F4"/>
    <w:rsid w:val="00ED2C30"/>
    <w:rsid w:val="00EF0B82"/>
    <w:rsid w:val="00EF40BC"/>
    <w:rsid w:val="00EF670C"/>
    <w:rsid w:val="00EF7070"/>
    <w:rsid w:val="00F0153F"/>
    <w:rsid w:val="00F05817"/>
    <w:rsid w:val="00F16AE5"/>
    <w:rsid w:val="00F20173"/>
    <w:rsid w:val="00F21E9D"/>
    <w:rsid w:val="00F2674C"/>
    <w:rsid w:val="00F27717"/>
    <w:rsid w:val="00F31875"/>
    <w:rsid w:val="00F33DC8"/>
    <w:rsid w:val="00F3477F"/>
    <w:rsid w:val="00F4190F"/>
    <w:rsid w:val="00F44396"/>
    <w:rsid w:val="00F45CE7"/>
    <w:rsid w:val="00F53F9A"/>
    <w:rsid w:val="00F547D4"/>
    <w:rsid w:val="00F57A3F"/>
    <w:rsid w:val="00F62DAC"/>
    <w:rsid w:val="00F63584"/>
    <w:rsid w:val="00F7443D"/>
    <w:rsid w:val="00F77266"/>
    <w:rsid w:val="00F867EA"/>
    <w:rsid w:val="00F91D9D"/>
    <w:rsid w:val="00FA036F"/>
    <w:rsid w:val="00FC2B9A"/>
    <w:rsid w:val="00FC4406"/>
    <w:rsid w:val="00FC6630"/>
    <w:rsid w:val="00FD0122"/>
    <w:rsid w:val="00FD14A5"/>
    <w:rsid w:val="00FE0DCE"/>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 w:type="character" w:customStyle="1" w:styleId="UnresolvedMention">
    <w:name w:val="Unresolved Mention"/>
    <w:basedOn w:val="DefaultParagraphFont"/>
    <w:uiPriority w:val="99"/>
    <w:semiHidden/>
    <w:unhideWhenUsed/>
    <w:rsid w:val="00CB5B6C"/>
    <w:rPr>
      <w:color w:val="605E5C"/>
      <w:shd w:val="clear" w:color="auto" w:fill="E1DFDD"/>
    </w:rPr>
  </w:style>
  <w:style w:type="paragraph" w:customStyle="1" w:styleId="BulletedTableEntry">
    <w:name w:val="Bulleted Table Entry"/>
    <w:basedOn w:val="Normal"/>
    <w:rsid w:val="00ED14F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mc" TargetMode="External" /><Relationship Id="rId11" Type="http://schemas.openxmlformats.org/officeDocument/2006/relationships/hyperlink" Target="https://www.pjm.com/committees-and-groups/issue-tracking/issue-tracking-details.aspx?Issue=f9b3dbf5-4149-4ea6-9ad3-0c452ff9f386" TargetMode="External" /><Relationship Id="rId12" Type="http://schemas.openxmlformats.org/officeDocument/2006/relationships/hyperlink" Target="https://www.pjm.com/-/media/DotCom/committees-groups/subcommittees/mss/2025/20250714/20250714-2025-settlement-c-tracking.pdf" TargetMode="External" /><Relationship Id="rId13" Type="http://schemas.openxmlformats.org/officeDocument/2006/relationships/hyperlink" Target="https://www.pjm.com/-/media/DotCom/committees-groups/pjm-antitrust-guidelinesw-for-the-stakeholder-meetings.pdf" TargetMode="External" /><Relationship Id="rId14" Type="http://schemas.openxmlformats.org/officeDocument/2006/relationships/hyperlink" Target="https://www.pjm.com/committees-and-groups" TargetMode="External" /><Relationship Id="rId15" Type="http://schemas.openxmlformats.org/officeDocument/2006/relationships/hyperlink" Target="https://www.pjm.com/about-pjm/who-we-are/code-of-conduct" TargetMode="Externa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hyperlink" Target="https://www.pjm.com/committees-and-groups/committees/form-facilitator-feedback.aspx" TargetMode="External" /><Relationship Id="rId19" Type="http://schemas.openxmlformats.org/officeDocument/2006/relationships/hyperlink" Target="https://learn.pjm.co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DotCom/committees-groups/subcommittees/mss/2025/20250714/20250714-regulation-phase-1-settlement-impacts.pdf" TargetMode="External" /><Relationship Id="rId5" Type="http://schemas.openxmlformats.org/officeDocument/2006/relationships/hyperlink" Target="https://www.pjm.com/-/media/DotCom/committees-groups/subcommittees/mss/2025/20250714/20250714-eddystone-doe-202c-cost-allocation.pdf" TargetMode="External" /><Relationship Id="rId6" Type="http://schemas.openxmlformats.org/officeDocument/2006/relationships/hyperlink" Target="https://www.pjm.com/-/media/DotCom/committees-groups/subcommittees/mss/2025/20250714/20250714-pjm-billing-statement-reports-invoice-number-update.pdf" TargetMode="External" /><Relationship Id="rId7" Type="http://schemas.openxmlformats.org/officeDocument/2006/relationships/hyperlink" Target="https://www.pjm.com/-/media/DotCom/committees-groups/subcommittees/mss/2025/20250714/20250714-2025-upcoming-msrs-report-updates.pdf" TargetMode="External" /><Relationship Id="rId8" Type="http://schemas.openxmlformats.org/officeDocument/2006/relationships/hyperlink" Target="https://www.pjm.com/committees-and-groups/committees/mic" TargetMode="External" /><Relationship Id="rId9" Type="http://schemas.openxmlformats.org/officeDocument/2006/relationships/hyperlink" Target="https://www.pjm.com/committees-and-groups/committees/mr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