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6300441D" w14:textId="47950CE8">
      <w:pPr>
        <w:pStyle w:val="PostingDate"/>
        <w:rPr>
          <w:sz w:val="16"/>
        </w:rPr>
      </w:pPr>
      <w:r>
        <w:t xml:space="preserve">As of </w:t>
      </w:r>
      <w:r w:rsidR="00320ACB">
        <w:t>June 10</w:t>
      </w:r>
      <w:r>
        <w:t>, 202</w:t>
      </w:r>
      <w:r w:rsidR="009B2B7E">
        <w:t>5</w:t>
      </w:r>
    </w:p>
    <w:p w:rsidR="00B62597" w:rsidRPr="00B62597" w:rsidP="00755096" w14:paraId="1C41F643" w14:textId="2EC5B51D">
      <w:pPr>
        <w:pStyle w:val="MeetingDetails"/>
      </w:pPr>
      <w:r>
        <w:t>Resource Adequacy Analysis Subcommittee</w:t>
      </w:r>
    </w:p>
    <w:p w:rsidR="00B62597" w:rsidRPr="00B62597" w:rsidP="00755096" w14:paraId="29912722" w14:textId="5E0C4A47">
      <w:pPr>
        <w:pStyle w:val="MeetingDetails"/>
      </w:pPr>
      <w:r>
        <w:t>Webex</w:t>
      </w:r>
      <w:r w:rsidR="00FC5A05">
        <w:t>/Conference Call</w:t>
      </w:r>
    </w:p>
    <w:p w:rsidR="00B62597" w:rsidRPr="00B62597" w:rsidP="00755096" w14:paraId="4096FF12" w14:textId="20927454">
      <w:pPr>
        <w:pStyle w:val="MeetingDetails"/>
      </w:pPr>
      <w:r>
        <w:t>June</w:t>
      </w:r>
      <w:r w:rsidR="00010057">
        <w:t xml:space="preserve"> </w:t>
      </w:r>
      <w:r w:rsidR="00447EFD">
        <w:t>24</w:t>
      </w:r>
      <w:r w:rsidR="002B2F98">
        <w:t xml:space="preserve">, </w:t>
      </w:r>
      <w:r w:rsidR="009B2B7E">
        <w:t>2025</w:t>
      </w:r>
    </w:p>
    <w:p w:rsidR="00B62597" w:rsidRPr="00B62597" w:rsidP="00755096" w14:paraId="7BC42675" w14:textId="1594A75A">
      <w:pPr>
        <w:pStyle w:val="MeetingDetails"/>
        <w:rPr>
          <w:sz w:val="28"/>
          <w:u w:val="single"/>
        </w:rPr>
      </w:pPr>
      <w:r>
        <w:t>9</w:t>
      </w:r>
      <w:r w:rsidR="002B2F98">
        <w:t xml:space="preserve">:00 </w:t>
      </w:r>
      <w:r w:rsidR="00010057">
        <w:t>a</w:t>
      </w:r>
      <w:r w:rsidR="002B2F98">
        <w:t xml:space="preserve">.m. – </w:t>
      </w:r>
      <w:r>
        <w:t>12</w:t>
      </w:r>
      <w:r w:rsidR="00010057">
        <w:t xml:space="preserve">:00 </w:t>
      </w:r>
      <w:r>
        <w:t>p</w:t>
      </w:r>
      <w:r w:rsidR="00755096">
        <w:t>.m.</w:t>
      </w:r>
      <w:r w:rsidR="00010057">
        <w:t xml:space="preserve"> EPT</w:t>
      </w:r>
    </w:p>
    <w:p w:rsidR="00B62597" w:rsidRPr="00B62597" w:rsidP="00B62597" w14:paraId="2F045D4D" w14:textId="77777777">
      <w:pPr>
        <w:spacing w:after="0" w:line="240" w:lineRule="auto"/>
        <w:rPr>
          <w:rFonts w:ascii="Arial Narrow" w:eastAsia="Times New Roman" w:hAnsi="Arial Narrow" w:cs="Times New Roman"/>
          <w:sz w:val="24"/>
          <w:szCs w:val="20"/>
        </w:rPr>
      </w:pPr>
    </w:p>
    <w:p w:rsidR="00B62597" w:rsidRPr="00B62597" w:rsidP="007C2954" w14:paraId="557C241E" w14:textId="2B7E246F">
      <w:pPr>
        <w:pStyle w:val="PrimaryHeading"/>
        <w:rPr>
          <w:caps/>
        </w:rPr>
      </w:pPr>
      <w:bookmarkStart w:id="0" w:name="OLE_LINK5"/>
      <w:bookmarkStart w:id="1" w:name="OLE_LINK3"/>
      <w:r w:rsidRPr="00527104">
        <w:t>Adm</w:t>
      </w:r>
      <w:r w:rsidRPr="007C2954">
        <w:t>inistrati</w:t>
      </w:r>
      <w:r w:rsidRPr="00527104">
        <w:t>on</w:t>
      </w:r>
    </w:p>
    <w:bookmarkEnd w:id="0"/>
    <w:bookmarkEnd w:id="1"/>
    <w:p w:rsidR="002C6057" w:rsidRPr="002C6057" w:rsidP="002C6057" w14:paraId="1682883D" w14:textId="0E469E46">
      <w:pPr>
        <w:pStyle w:val="SecondaryHeading-Numbered"/>
        <w:rPr>
          <w:b w:val="0"/>
        </w:rPr>
      </w:pPr>
      <w:r w:rsidRPr="00634173">
        <w:rPr>
          <w:b w:val="0"/>
          <w:szCs w:val="24"/>
        </w:rPr>
        <w:t>Welcome, announcements and review of the Anti-trust, Code of Conduct, and Media Participation Guidelines.</w:t>
      </w:r>
    </w:p>
    <w:p w:rsidR="00FC5A05" w:rsidRPr="00634173" w:rsidP="00FC5A05" w14:paraId="2FD3CF1D" w14:textId="3209631B">
      <w:pPr>
        <w:pStyle w:val="SecondaryHeading-Numbered"/>
        <w:rPr>
          <w:b w:val="0"/>
          <w:szCs w:val="24"/>
        </w:rPr>
      </w:pPr>
      <w:r w:rsidRPr="00634173">
        <w:rPr>
          <w:b w:val="0"/>
          <w:szCs w:val="24"/>
        </w:rPr>
        <w:t xml:space="preserve">Approve draft minutes from </w:t>
      </w:r>
      <w:r w:rsidRPr="00634173" w:rsidR="00C31CC8">
        <w:rPr>
          <w:b w:val="0"/>
          <w:szCs w:val="24"/>
        </w:rPr>
        <w:t>November</w:t>
      </w:r>
      <w:r w:rsidRPr="00634173">
        <w:rPr>
          <w:b w:val="0"/>
          <w:szCs w:val="24"/>
        </w:rPr>
        <w:t xml:space="preserve"> </w:t>
      </w:r>
      <w:r>
        <w:rPr>
          <w:b w:val="0"/>
          <w:szCs w:val="24"/>
        </w:rPr>
        <w:t>4</w:t>
      </w:r>
      <w:r w:rsidRPr="00634173">
        <w:rPr>
          <w:b w:val="0"/>
          <w:szCs w:val="24"/>
        </w:rPr>
        <w:t xml:space="preserve">, </w:t>
      </w:r>
      <w:r w:rsidRPr="00634173" w:rsidR="00C31CC8">
        <w:rPr>
          <w:b w:val="0"/>
          <w:szCs w:val="24"/>
        </w:rPr>
        <w:t>202</w:t>
      </w:r>
      <w:r w:rsidR="00C31CC8">
        <w:rPr>
          <w:b w:val="0"/>
          <w:szCs w:val="24"/>
        </w:rPr>
        <w:t>4,</w:t>
      </w:r>
      <w:r w:rsidRPr="00634173">
        <w:rPr>
          <w:b w:val="0"/>
          <w:szCs w:val="24"/>
        </w:rPr>
        <w:t xml:space="preserve"> RAAS meeting.</w:t>
      </w:r>
    </w:p>
    <w:p w:rsidR="001D3B68" w:rsidRPr="00DB29E9" w:rsidP="007C2954" w14:paraId="35784425" w14:textId="4CBC5334">
      <w:pPr>
        <w:pStyle w:val="PrimaryHeading"/>
      </w:pPr>
      <w:r>
        <w:t>Update on Inputs for Upcoming FPR/ELCC Run</w:t>
      </w:r>
    </w:p>
    <w:p w:rsidR="00B62597" w:rsidP="00917386" w14:paraId="61DAFDB5" w14:textId="056055A8">
      <w:pPr>
        <w:pStyle w:val="SecondaryHeading-Numbered"/>
        <w:rPr>
          <w:b w:val="0"/>
        </w:rPr>
      </w:pPr>
      <w:r>
        <w:rPr>
          <w:b w:val="0"/>
        </w:rPr>
        <w:t xml:space="preserve">Joshua Bruno will provide an update on inputs for the upcoming FPR/ELCC run.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01C0BB3A"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50CA981F"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073AD08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765DA646"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0A0857A4" w14:textId="77777777"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9DB53D8"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E2C7304"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1A45405D"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6DC2F671"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6B7531E7" w14:textId="77777777">
            <w:pPr>
              <w:pStyle w:val="DisclaimerHeading"/>
              <w:keepLines/>
              <w:jc w:val="center"/>
              <w:rPr>
                <w:color w:val="FFFFFF" w:themeColor="background1"/>
                <w:sz w:val="19"/>
                <w:szCs w:val="19"/>
              </w:rPr>
            </w:pPr>
          </w:p>
        </w:tc>
      </w:tr>
      <w:tr w14:paraId="5F387C20" w14:textId="77777777"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7D16F7A1"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526DF82"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14:paraId="6F598086"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57A49016"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E8E86E5" w14:textId="77777777" w:rsidTr="00CE451E">
        <w:tblPrEx>
          <w:tblW w:w="0" w:type="auto"/>
          <w:tblLook w:val="04A0"/>
        </w:tblPrEx>
        <w:trPr>
          <w:trHeight w:val="331"/>
        </w:trPr>
        <w:tc>
          <w:tcPr>
            <w:tcW w:w="1201" w:type="dxa"/>
            <w:tcBorders>
              <w:top w:val="none" w:sz="0" w:space="0" w:color="auto"/>
              <w:bottom w:val="single" w:sz="4" w:space="0" w:color="auto"/>
              <w:right w:val="single" w:sz="4" w:space="0" w:color="auto"/>
            </w:tcBorders>
            <w:shd w:val="clear" w:color="auto" w:fill="E1F6FF"/>
          </w:tcPr>
          <w:p w:rsidR="00DF1112" w:rsidRPr="00BB6921" w:rsidP="00CE451E" w14:paraId="14FEB331" w14:textId="0BFE1F49">
            <w:pPr>
              <w:pStyle w:val="DisclaimerHeading"/>
              <w:keepLines/>
              <w:spacing w:before="40" w:after="40" w:line="220" w:lineRule="exact"/>
              <w:jc w:val="left"/>
              <w:rPr>
                <w:b w:val="0"/>
                <w:i w:val="0"/>
                <w:color w:val="auto"/>
                <w:sz w:val="18"/>
                <w:szCs w:val="18"/>
              </w:rPr>
            </w:pPr>
            <w:r>
              <w:rPr>
                <w:b w:val="0"/>
                <w:i w:val="0"/>
                <w:color w:val="auto"/>
                <w:sz w:val="18"/>
                <w:szCs w:val="18"/>
              </w:rPr>
              <w:t>n/a</w:t>
            </w:r>
          </w:p>
        </w:tc>
        <w:tc>
          <w:tcPr>
            <w:tcW w:w="983" w:type="dxa"/>
            <w:tcBorders>
              <w:left w:val="single" w:sz="4" w:space="0" w:color="auto"/>
              <w:bottom w:val="single" w:sz="4" w:space="0" w:color="auto"/>
              <w:right w:val="single" w:sz="4" w:space="0" w:color="auto"/>
            </w:tcBorders>
          </w:tcPr>
          <w:p w:rsidR="00DF1112" w:rsidRPr="00C10A93" w:rsidP="00CE451E" w14:paraId="0A2D10EE" w14:textId="77777777">
            <w:pPr>
              <w:pStyle w:val="DisclaimerHeading"/>
              <w:keepLines/>
              <w:spacing w:before="40" w:after="40" w:line="220" w:lineRule="exact"/>
              <w:rPr>
                <w:b w:val="0"/>
                <w:color w:val="auto"/>
                <w:sz w:val="18"/>
                <w:szCs w:val="18"/>
              </w:rPr>
            </w:pPr>
          </w:p>
        </w:tc>
        <w:tc>
          <w:tcPr>
            <w:tcW w:w="3756" w:type="dxa"/>
            <w:tcBorders>
              <w:left w:val="single" w:sz="4" w:space="0" w:color="auto"/>
              <w:bottom w:val="single" w:sz="4" w:space="0" w:color="auto"/>
              <w:right w:val="single" w:sz="4" w:space="0" w:color="auto"/>
            </w:tcBorders>
          </w:tcPr>
          <w:p w:rsidR="00DF1112" w:rsidRPr="00C10A93" w:rsidP="00CE451E" w14:paraId="7DEF41CA" w14:textId="77777777">
            <w:pPr>
              <w:pStyle w:val="AttendeesList"/>
              <w:keepLines/>
              <w:spacing w:before="40" w:after="40" w:line="220" w:lineRule="exact"/>
              <w:rPr>
                <w:szCs w:val="18"/>
              </w:rPr>
            </w:pPr>
          </w:p>
        </w:tc>
        <w:tc>
          <w:tcPr>
            <w:tcW w:w="1816" w:type="dxa"/>
            <w:tcBorders>
              <w:left w:val="single" w:sz="4" w:space="0" w:color="auto"/>
              <w:bottom w:val="single" w:sz="4" w:space="0" w:color="auto"/>
              <w:right w:val="single" w:sz="4" w:space="0" w:color="auto"/>
            </w:tcBorders>
          </w:tcPr>
          <w:p w:rsidR="00DF1112" w:rsidRPr="00C10A93" w:rsidP="00CE451E" w14:paraId="5EBBDF96" w14:textId="77777777">
            <w:pPr>
              <w:pStyle w:val="DisclaimerHeading"/>
              <w:keepLines/>
              <w:spacing w:before="40" w:after="40" w:line="220" w:lineRule="exact"/>
              <w:jc w:val="center"/>
              <w:rPr>
                <w:b w:val="0"/>
                <w:color w:val="auto"/>
                <w:sz w:val="18"/>
                <w:szCs w:val="18"/>
              </w:rPr>
            </w:pPr>
          </w:p>
        </w:tc>
        <w:tc>
          <w:tcPr>
            <w:tcW w:w="1529" w:type="dxa"/>
            <w:tcBorders>
              <w:left w:val="single" w:sz="4" w:space="0" w:color="auto"/>
              <w:bottom w:val="single" w:sz="4" w:space="0" w:color="auto"/>
              <w:right w:val="single" w:sz="4" w:space="0" w:color="auto"/>
            </w:tcBorders>
          </w:tcPr>
          <w:p w:rsidR="00DF1112" w:rsidRPr="00C10A93" w:rsidP="00CE451E" w14:paraId="687D6B69" w14:textId="77777777">
            <w:pPr>
              <w:pStyle w:val="DisclaimerHeading"/>
              <w:keepLines/>
              <w:spacing w:before="40" w:after="40" w:line="220" w:lineRule="exact"/>
              <w:jc w:val="center"/>
              <w:rPr>
                <w:b w:val="0"/>
                <w:color w:val="auto"/>
                <w:sz w:val="18"/>
                <w:szCs w:val="18"/>
              </w:rPr>
            </w:pPr>
          </w:p>
        </w:tc>
      </w:tr>
    </w:tbl>
    <w:p w:rsidR="003C3320" w:rsidP="00CE451E" w14:paraId="64F6FF88"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72B6032F" w14:textId="77777777">
      <w:pPr>
        <w:pStyle w:val="Author"/>
      </w:pPr>
    </w:p>
    <w:p w:rsidR="00CE451E" w14:paraId="4BA508CD" w14:textId="77777777">
      <w:pPr>
        <w:rPr>
          <w:rFonts w:ascii="Arial Narrow" w:eastAsia="Times New Roman" w:hAnsi="Arial Narrow" w:cs="Times New Roman"/>
          <w:sz w:val="16"/>
          <w:szCs w:val="16"/>
        </w:rPr>
      </w:pPr>
      <w:r>
        <w:br w:type="page"/>
      </w:r>
    </w:p>
    <w:p w:rsidR="00B62597" w:rsidP="00337321" w14:paraId="154F7B83" w14:textId="48F0C0F5">
      <w:pPr>
        <w:pStyle w:val="Author"/>
      </w:pPr>
      <w:r>
        <w:t xml:space="preserve">Author: </w:t>
      </w:r>
      <w:r w:rsidR="00FC5A05">
        <w:t>Jason Quevada</w:t>
      </w:r>
    </w:p>
    <w:p w:rsidR="00A317A9" w:rsidRPr="00B62597" w:rsidP="00337321" w14:paraId="25421EAB" w14:textId="77777777">
      <w:pPr>
        <w:pStyle w:val="Author"/>
      </w:pPr>
    </w:p>
    <w:p w:rsidR="00DB745C" w:rsidRPr="00DB745C" w:rsidP="00DB745C" w14:paraId="37278959" w14:textId="77777777">
      <w:pPr>
        <w:keepNext/>
        <w:keepLines/>
        <w:spacing w:after="0" w:line="240" w:lineRule="auto"/>
        <w:rPr>
          <w:rFonts w:ascii="Arial Narrow" w:eastAsia="Times New Roman" w:hAnsi="Arial Narrow" w:cs="Times New Roman"/>
          <w:b/>
          <w:color w:val="013C59"/>
          <w:sz w:val="16"/>
          <w:szCs w:val="16"/>
        </w:rPr>
      </w:pPr>
      <w:r w:rsidRPr="00DB745C">
        <w:rPr>
          <w:rFonts w:ascii="Arial Narrow" w:eastAsia="Times New Roman" w:hAnsi="Arial Narrow" w:cs="Times New Roman"/>
          <w:b/>
          <w:color w:val="013C59"/>
          <w:sz w:val="16"/>
          <w:szCs w:val="16"/>
        </w:rPr>
        <w:t>Antitrust:</w:t>
      </w:r>
    </w:p>
    <w:p w:rsidR="00DB745C" w:rsidRPr="00DB745C" w:rsidP="00DB745C" w14:paraId="02CCE1D8" w14:textId="77777777">
      <w:pPr>
        <w:spacing w:after="120" w:line="240" w:lineRule="auto"/>
        <w:rPr>
          <w:rFonts w:ascii="Arial Narrow" w:eastAsia="Times New Roman" w:hAnsi="Arial Narrow" w:cs="Times New Roman"/>
          <w:sz w:val="16"/>
          <w:szCs w:val="16"/>
        </w:rPr>
      </w:pPr>
      <w:r w:rsidRPr="00DB745C">
        <w:rPr>
          <w:rFonts w:ascii="Arial Narrow" w:eastAsia="Times New Roman" w:hAnsi="Arial Narrow" w:cs="Times New Roman"/>
          <w:sz w:val="16"/>
          <w:szCs w:val="16"/>
        </w:rP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30348EC8" w14:textId="77777777" w:rsidTr="00FB766B">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DB745C" w:rsidRPr="00DB745C" w:rsidP="00DB745C" w14:paraId="0900CC07" w14:textId="77777777">
            <w:pPr>
              <w:ind w:left="152" w:hanging="90"/>
              <w:rPr>
                <w:rFonts w:ascii="Arial Narrow" w:hAnsi="Arial Narrow"/>
                <w:sz w:val="16"/>
                <w:szCs w:val="16"/>
              </w:rPr>
            </w:pPr>
            <w:r w:rsidRPr="00DB745C">
              <w:rPr>
                <w:rFonts w:ascii="Arial Narrow" w:hAnsi="Arial Narrow"/>
                <w:sz w:val="16"/>
                <w:szCs w:val="16"/>
              </w:rPr>
              <w:t xml:space="preserve">Non-public individual pricing strategies, bidding strategies, or offer practices </w:t>
            </w:r>
          </w:p>
          <w:p w:rsidR="00DB745C" w:rsidRPr="00DB745C" w:rsidP="00DB745C" w14:paraId="7E9FD0A1" w14:textId="77777777">
            <w:pPr>
              <w:ind w:left="152" w:hanging="90"/>
            </w:pPr>
            <w:r w:rsidRPr="00DB745C">
              <w:rPr>
                <w:rFonts w:ascii="Arial Narrow" w:hAnsi="Arial Narrow"/>
                <w:sz w:val="16"/>
                <w:szCs w:val="16"/>
              </w:rPr>
              <w:t>Non-public forecasts of prices, costs, output, or market behavior</w:t>
            </w:r>
          </w:p>
        </w:tc>
        <w:tc>
          <w:tcPr>
            <w:tcW w:w="2340" w:type="dxa"/>
          </w:tcPr>
          <w:p w:rsidR="00DB745C" w:rsidRPr="00DB745C" w:rsidP="00DB745C" w14:paraId="5413A823" w14:textId="77777777">
            <w:pPr>
              <w:ind w:left="152" w:hanging="90"/>
              <w:rPr>
                <w:rFonts w:ascii="Arial Narrow" w:hAnsi="Arial Narrow"/>
                <w:sz w:val="16"/>
                <w:szCs w:val="16"/>
              </w:rPr>
            </w:pPr>
            <w:r w:rsidRPr="00DB745C">
              <w:rPr>
                <w:rFonts w:ascii="Arial Narrow" w:hAnsi="Arial Narrow"/>
                <w:sz w:val="16"/>
                <w:szCs w:val="16"/>
              </w:rPr>
              <w:t>Non-public information about the availability, output or production costs of specific resources or services</w:t>
            </w:r>
          </w:p>
          <w:p w:rsidR="00DB745C" w:rsidRPr="00DB745C" w:rsidP="00DB745C" w14:paraId="11263AC8" w14:textId="77777777">
            <w:pPr>
              <w:ind w:left="152" w:hanging="90"/>
              <w:rPr>
                <w:rFonts w:ascii="Arial Narrow" w:hAnsi="Arial Narrow"/>
                <w:sz w:val="16"/>
                <w:szCs w:val="16"/>
              </w:rPr>
            </w:pPr>
            <w:r w:rsidRPr="00DB745C">
              <w:rPr>
                <w:rFonts w:ascii="Arial Narrow" w:hAnsi="Arial Narrow"/>
                <w:sz w:val="16"/>
                <w:szCs w:val="16"/>
              </w:rPr>
              <w:t>Confidential terms or conditions of sale, service, or trading strategies</w:t>
            </w:r>
          </w:p>
        </w:tc>
        <w:tc>
          <w:tcPr>
            <w:tcW w:w="3425" w:type="dxa"/>
          </w:tcPr>
          <w:p w:rsidR="00DB745C" w:rsidRPr="00DB745C" w:rsidP="00DB745C" w14:paraId="02A9CBFF" w14:textId="77777777">
            <w:pPr>
              <w:ind w:left="152" w:hanging="90"/>
              <w:rPr>
                <w:rFonts w:ascii="Arial Narrow" w:hAnsi="Arial Narrow"/>
                <w:sz w:val="16"/>
                <w:szCs w:val="16"/>
              </w:rPr>
            </w:pPr>
            <w:r w:rsidRPr="00DB745C">
              <w:rPr>
                <w:rFonts w:ascii="Arial Narrow" w:hAnsi="Arial Narrow"/>
                <w:sz w:val="16"/>
                <w:szCs w:val="16"/>
              </w:rPr>
              <w:t>Planned or potential allocation of specific customers, suppliers, or markets among competitors</w:t>
            </w:r>
          </w:p>
          <w:p w:rsidR="00DB745C" w:rsidRPr="00DB745C" w:rsidP="00DB745C" w14:paraId="4703B819" w14:textId="77777777">
            <w:pPr>
              <w:ind w:left="152" w:hanging="90"/>
              <w:rPr>
                <w:rFonts w:ascii="Arial Narrow" w:hAnsi="Arial Narrow"/>
                <w:sz w:val="16"/>
                <w:szCs w:val="16"/>
              </w:rPr>
            </w:pPr>
            <w:r w:rsidRPr="00DB745C">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DB745C" w:rsidRPr="00DB745C" w:rsidP="00DB745C" w14:paraId="74BA7557" w14:textId="77777777">
            <w:pPr>
              <w:ind w:left="152" w:hanging="90"/>
              <w:rPr>
                <w:rFonts w:ascii="Arial Narrow" w:hAnsi="Arial Narrow"/>
                <w:sz w:val="16"/>
                <w:szCs w:val="16"/>
              </w:rPr>
            </w:pPr>
            <w:r w:rsidRPr="00DB745C">
              <w:rPr>
                <w:rFonts w:ascii="Arial Narrow" w:hAnsi="Arial Narrow"/>
                <w:sz w:val="16"/>
                <w:szCs w:val="16"/>
              </w:rPr>
              <w:t>Any other communication that could unreasonably restrain competition or coordinate competitive behavior among market participants</w:t>
            </w:r>
          </w:p>
        </w:tc>
      </w:tr>
    </w:tbl>
    <w:p w:rsidR="00DB745C" w:rsidRPr="00DB745C" w:rsidP="00DB745C" w14:paraId="6B565204" w14:textId="77777777">
      <w:pPr>
        <w:spacing w:before="160" w:after="120" w:line="240" w:lineRule="auto"/>
        <w:rPr>
          <w:rFonts w:ascii="Arial Narrow" w:hAnsi="Arial Narrow" w:cs="Times New Roman"/>
          <w:sz w:val="16"/>
          <w:szCs w:val="16"/>
        </w:rPr>
      </w:pPr>
      <w:r w:rsidRPr="00DB745C">
        <w:rPr>
          <w:rFonts w:ascii="Arial Narrow" w:eastAsia="Times New Roman" w:hAnsi="Arial Narrow" w:cs="Times New Roman"/>
          <w:sz w:val="16"/>
          <w:szCs w:val="16"/>
        </w:rP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DB745C" w:rsidRPr="00DB745C" w:rsidP="00DB745C" w14:paraId="6995489B" w14:textId="77777777">
      <w:pPr>
        <w:spacing w:after="120" w:line="240" w:lineRule="auto"/>
        <w:ind w:right="180"/>
        <w:rPr>
          <w:rFonts w:ascii="Arial Narrow" w:eastAsia="Times New Roman" w:hAnsi="Arial Narrow" w:cs="Times New Roman"/>
          <w:sz w:val="16"/>
          <w:szCs w:val="16"/>
        </w:rPr>
      </w:pPr>
      <w:r w:rsidRPr="00DB745C">
        <w:rPr>
          <w:rFonts w:ascii="Arial Narrow" w:eastAsia="Times New Roman" w:hAnsi="Arial Narrow" w:cs="Times New Roman"/>
          <w:sz w:val="16"/>
          <w:szCs w:val="16"/>
        </w:rPr>
        <w:t xml:space="preserve">If prohibited topics are raised, the Chair will redirect the conversation. If the discussion continues, participants may be asked to leave the meeting or the meeting may be adjourned. For more information, please refer to </w:t>
      </w:r>
      <w:hyperlink r:id="rId4" w:history="1">
        <w:r w:rsidRPr="00DB745C">
          <w:rPr>
            <w:rFonts w:ascii="Arial Narrow" w:eastAsia="Times New Roman" w:hAnsi="Arial Narrow" w:cs="Times New Roman"/>
            <w:color w:val="0000FF" w:themeColor="hyperlink"/>
            <w:sz w:val="16"/>
            <w:szCs w:val="16"/>
            <w:u w:val="single"/>
          </w:rPr>
          <w:t>PJM’s Antitrust Guidelines for Stakeholder Meetings</w:t>
        </w:r>
      </w:hyperlink>
      <w:r w:rsidRPr="00DB745C">
        <w:rPr>
          <w:rFonts w:ascii="Arial Narrow" w:eastAsia="Times New Roman" w:hAnsi="Arial Narrow" w:cs="Times New Roman"/>
          <w:sz w:val="16"/>
          <w:szCs w:val="16"/>
        </w:rPr>
        <w:t xml:space="preserve">, which are posted on PJM’s </w:t>
      </w:r>
      <w:hyperlink r:id="rId5" w:history="1">
        <w:r w:rsidRPr="00DB745C">
          <w:rPr>
            <w:rFonts w:ascii="Arial Narrow" w:eastAsia="Times New Roman" w:hAnsi="Arial Narrow" w:cs="Times New Roman"/>
            <w:color w:val="0000FF" w:themeColor="hyperlink"/>
            <w:sz w:val="16"/>
            <w:szCs w:val="16"/>
            <w:u w:val="single"/>
          </w:rPr>
          <w:t>Committees and Groups page</w:t>
        </w:r>
      </w:hyperlink>
      <w:r w:rsidRPr="00DB745C">
        <w:rPr>
          <w:rFonts w:ascii="Arial Narrow" w:eastAsia="Times New Roman" w:hAnsi="Arial Narrow" w:cs="Times New Roman"/>
          <w:sz w:val="16"/>
          <w:szCs w:val="16"/>
        </w:rPr>
        <w:t>.</w:t>
      </w:r>
    </w:p>
    <w:p w:rsidR="00DB745C" w:rsidRPr="00DB745C" w:rsidP="00DB745C" w14:paraId="1F0F448B" w14:textId="77777777">
      <w:pPr>
        <w:spacing w:after="0" w:line="240" w:lineRule="auto"/>
        <w:rPr>
          <w:rFonts w:ascii="Arial Narrow" w:eastAsia="Times New Roman" w:hAnsi="Arial Narrow" w:cs="Times New Roman"/>
          <w:b/>
          <w:color w:val="013C59"/>
          <w:sz w:val="16"/>
          <w:szCs w:val="16"/>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43B95F96" w14:textId="77777777" w:rsidTr="00FB766B">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DB745C" w:rsidRPr="00DB745C" w:rsidP="00DB745C" w14:paraId="27C540FE" w14:textId="77777777">
            <w:pPr>
              <w:spacing w:before="60"/>
              <w:rPr>
                <w:rFonts w:ascii="Arial Narrow" w:eastAsia="Times New Roman" w:hAnsi="Arial Narrow" w:cs="Times New Roman"/>
                <w:b/>
                <w:color w:val="013C59"/>
                <w:sz w:val="16"/>
                <w:szCs w:val="16"/>
              </w:rPr>
            </w:pPr>
            <w:r w:rsidRPr="00DB745C">
              <w:rPr>
                <w:rFonts w:ascii="Arial Narrow" w:eastAsia="Times New Roman" w:hAnsi="Arial Narrow" w:cs="Times New Roman"/>
                <w:b/>
                <w:color w:val="013C59"/>
                <w:sz w:val="16"/>
                <w:szCs w:val="16"/>
              </w:rPr>
              <w:t>Code of Conduct:</w:t>
            </w:r>
          </w:p>
          <w:p w:rsidR="00DB745C" w:rsidRPr="00DB745C" w:rsidP="00DB745C" w14:paraId="555B2877" w14:textId="77777777">
            <w:pPr>
              <w:spacing w:after="120"/>
              <w:rPr>
                <w:rFonts w:ascii="Arial Narrow" w:eastAsia="Times New Roman" w:hAnsi="Arial Narrow" w:cs="Times New Roman"/>
                <w:sz w:val="16"/>
                <w:szCs w:val="16"/>
              </w:rPr>
            </w:pPr>
            <w:r w:rsidRPr="00DB745C">
              <w:rPr>
                <w:rFonts w:ascii="Arial Narrow" w:eastAsia="Times New Roman" w:hAnsi="Arial Narrow" w:cs="Times New Roman"/>
                <w:sz w:val="16"/>
                <w:szCs w:val="16"/>
              </w:rPr>
              <w:t xml:space="preserve">As a mandatory condition of attendance at today's meeting, attendees agree to adhere to the Code of Conduct as detailed in PJM Manual M-34 section 4.5, including, but not limited to, participants' responsibilities and rules regarding the dissemination of meeting discussion and materials. Expectations for participating in PJM activities are further detailed in the </w:t>
            </w:r>
            <w:hyperlink r:id="rId6" w:history="1">
              <w:r w:rsidRPr="00DB745C">
                <w:rPr>
                  <w:rFonts w:ascii="Arial Narrow" w:eastAsia="Times New Roman" w:hAnsi="Arial Narrow" w:cs="Times New Roman"/>
                  <w:color w:val="0000FF" w:themeColor="hyperlink"/>
                  <w:sz w:val="16"/>
                  <w:szCs w:val="16"/>
                  <w:u w:val="single"/>
                </w:rPr>
                <w:t>PJM Code of Conduct</w:t>
              </w:r>
            </w:hyperlink>
            <w:r w:rsidRPr="00DB745C">
              <w:rPr>
                <w:rFonts w:ascii="Arial Narrow" w:eastAsia="Times New Roman" w:hAnsi="Arial Narrow" w:cs="Times New Roman"/>
                <w:sz w:val="16"/>
                <w:szCs w:val="16"/>
              </w:rPr>
              <w:t>.</w:t>
            </w:r>
          </w:p>
          <w:p w:rsidR="00DB745C" w:rsidRPr="00DB745C" w:rsidP="00DB745C" w14:paraId="252C2F0E" w14:textId="77777777">
            <w:pPr>
              <w:spacing w:before="240"/>
              <w:rPr>
                <w:rFonts w:ascii="Arial Narrow" w:eastAsia="Times New Roman" w:hAnsi="Arial Narrow" w:cs="Times New Roman"/>
                <w:b/>
                <w:color w:val="013C59"/>
                <w:sz w:val="16"/>
                <w:szCs w:val="16"/>
              </w:rPr>
            </w:pPr>
            <w:r w:rsidRPr="00DB745C">
              <w:rPr>
                <w:rFonts w:ascii="Arial Narrow" w:eastAsia="Times New Roman" w:hAnsi="Arial Narrow" w:cs="Times New Roman"/>
                <w:b/>
                <w:color w:val="013C59"/>
                <w:sz w:val="16"/>
                <w:szCs w:val="16"/>
              </w:rPr>
              <w:t xml:space="preserve">Public Meetings/Media Participation: </w:t>
            </w:r>
          </w:p>
          <w:p w:rsidR="00DB745C" w:rsidRPr="00DB745C" w:rsidP="00DB745C" w14:paraId="2B15ED0D" w14:textId="77777777">
            <w:pPr>
              <w:spacing w:after="120"/>
              <w:rPr>
                <w:rFonts w:ascii="Arial Narrow" w:eastAsia="Times New Roman" w:hAnsi="Arial Narrow" w:cs="Times New Roman"/>
                <w:sz w:val="16"/>
                <w:szCs w:val="16"/>
              </w:rPr>
            </w:pPr>
            <w:r w:rsidRPr="00DB745C">
              <w:rPr>
                <w:rFonts w:ascii="Arial Narrow" w:eastAsia="Times New Roman" w:hAnsi="Arial Narrow" w:cs="Times New Roman"/>
                <w:sz w:val="16"/>
                <w:szCs w:val="16"/>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tc>
        <w:tc>
          <w:tcPr>
            <w:tcW w:w="4230" w:type="dxa"/>
          </w:tcPr>
          <w:p w:rsidR="00DB745C" w:rsidRPr="00DB745C" w:rsidP="00DB745C" w14:paraId="0333D1B6" w14:textId="77777777">
            <w:pPr>
              <w:spacing w:before="60"/>
              <w:ind w:left="85"/>
              <w:rPr>
                <w:rFonts w:ascii="Arial Narrow" w:eastAsia="Times New Roman" w:hAnsi="Arial Narrow" w:cs="Times New Roman"/>
                <w:b/>
                <w:color w:val="013C59"/>
                <w:sz w:val="16"/>
                <w:szCs w:val="16"/>
              </w:rPr>
            </w:pPr>
            <w:r w:rsidRPr="00DB745C">
              <w:rPr>
                <w:rFonts w:ascii="Arial Narrow" w:eastAsia="Times New Roman" w:hAnsi="Arial Narrow" w:cs="Times New Roman"/>
                <w:b/>
                <w:color w:val="013C59"/>
                <w:sz w:val="16"/>
                <w:szCs w:val="16"/>
              </w:rPr>
              <w:t>Participant Identification in Webex:</w:t>
            </w:r>
          </w:p>
          <w:p w:rsidR="00DB745C" w:rsidRPr="00DB745C" w:rsidP="00DB745C" w14:paraId="7600D941" w14:textId="77777777">
            <w:pPr>
              <w:spacing w:after="120"/>
              <w:ind w:left="85"/>
              <w:rPr>
                <w:rFonts w:ascii="Arial Narrow" w:eastAsia="Times New Roman" w:hAnsi="Arial Narrow" w:cs="Times New Roman"/>
                <w:sz w:val="16"/>
                <w:szCs w:val="16"/>
              </w:rPr>
            </w:pPr>
            <w:r w:rsidRPr="00DB745C">
              <w:rPr>
                <w:rFonts w:ascii="Arial Narrow" w:eastAsia="Times New Roman" w:hAnsi="Arial Narrow" w:cs="Times New Roman"/>
                <w:sz w:val="16"/>
                <w:szCs w:val="16"/>
              </w:rPr>
              <w:t>When logging into the Webex desktop client, please enter your real first and last name as well as a valid email address. Be sure to select the “call me” option.</w:t>
            </w:r>
          </w:p>
          <w:p w:rsidR="00DB745C" w:rsidRPr="00DB745C" w:rsidP="00DB745C" w14:paraId="199B7DEA" w14:textId="77777777">
            <w:pPr>
              <w:spacing w:after="120"/>
              <w:ind w:left="85"/>
              <w:rPr>
                <w:rFonts w:ascii="Arial Narrow" w:eastAsia="Times New Roman" w:hAnsi="Arial Narrow" w:cs="Times New Roman"/>
                <w:sz w:val="16"/>
                <w:szCs w:val="16"/>
              </w:rPr>
            </w:pPr>
            <w:r w:rsidRPr="00DB745C">
              <w:rPr>
                <w:rFonts w:ascii="Arial Narrow" w:eastAsia="Times New Roman" w:hAnsi="Arial Narrow" w:cs="Times New Roman"/>
                <w:sz w:val="16"/>
                <w:szCs w:val="16"/>
              </w:rPr>
              <w:t>PJM support staff continuously monitors Webex connections during stakeholder meetings. Anonymous users or those using false usernames or emails will be dropped from the teleconference.</w:t>
            </w:r>
          </w:p>
          <w:p w:rsidR="00DB745C" w:rsidRPr="00DB745C" w:rsidP="00DB745C" w14:paraId="7D3A48C1" w14:textId="77777777">
            <w:pPr>
              <w:spacing w:before="240"/>
              <w:ind w:left="85"/>
              <w:rPr>
                <w:rFonts w:ascii="Arial Narrow" w:eastAsia="Times New Roman" w:hAnsi="Arial Narrow" w:cs="Times New Roman"/>
                <w:b/>
                <w:color w:val="013C59"/>
                <w:sz w:val="16"/>
                <w:szCs w:val="16"/>
              </w:rPr>
            </w:pPr>
            <w:r w:rsidRPr="00DB745C">
              <w:rPr>
                <w:rFonts w:ascii="Arial Narrow" w:eastAsia="Times New Roman" w:hAnsi="Arial Narrow" w:cs="Times New Roman"/>
                <w:b/>
                <w:color w:val="013C59"/>
                <w:sz w:val="16"/>
                <w:szCs w:val="16"/>
              </w:rPr>
              <w:t>Participant Use of Webex Chat:</w:t>
            </w:r>
          </w:p>
          <w:p w:rsidR="00DB745C" w:rsidRPr="00DB745C" w:rsidP="00DB745C" w14:paraId="400610A5" w14:textId="64A53BD9">
            <w:pPr>
              <w:spacing w:after="120"/>
              <w:ind w:left="85"/>
              <w:rPr>
                <w:rFonts w:ascii="Arial Narrow" w:eastAsia="Times New Roman" w:hAnsi="Arial Narrow" w:cs="Times New Roman"/>
                <w:sz w:val="16"/>
                <w:szCs w:val="16"/>
              </w:rPr>
            </w:pPr>
            <w:r w:rsidRPr="00DB745C">
              <w:rPr>
                <w:rFonts w:ascii="Arial Narrow" w:eastAsia="Times New Roman" w:hAnsi="Arial Narrow" w:cs="Times New Roman"/>
                <w:sz w:val="16"/>
                <w:szCs w:val="16"/>
              </w:rPr>
              <w:t xml:space="preserve">The use of the Webex chat feature during meetings shall be </w:t>
            </w:r>
            <w:r w:rsidRPr="00DB745C" w:rsidR="00C31CC8">
              <w:rPr>
                <w:rFonts w:ascii="Arial Narrow" w:eastAsia="Times New Roman" w:hAnsi="Arial Narrow" w:cs="Times New Roman"/>
                <w:sz w:val="16"/>
                <w:szCs w:val="16"/>
              </w:rPr>
              <w:t>primarily reserved</w:t>
            </w:r>
            <w:r w:rsidRPr="00DB745C">
              <w:rPr>
                <w:rFonts w:ascii="Arial Narrow" w:eastAsia="Times New Roman" w:hAnsi="Arial Narrow" w:cs="Times New Roman"/>
                <w:sz w:val="16"/>
                <w:szCs w:val="16"/>
              </w:rP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dialogue shall be shared orally by entering the speaker queue.  </w:t>
            </w:r>
          </w:p>
        </w:tc>
      </w:tr>
    </w:tbl>
    <w:p w:rsidR="00DB745C" w:rsidRPr="00DB745C" w:rsidP="00DB745C" w14:paraId="3994C892" w14:textId="77777777">
      <w:pPr>
        <w:spacing w:after="120" w:line="240" w:lineRule="auto"/>
        <w:rPr>
          <w:rFonts w:ascii="Arial Narrow" w:eastAsia="Times New Roman" w:hAnsi="Arial Narrow" w:cs="Times New Roman"/>
          <w:sz w:val="16"/>
          <w:szCs w:val="16"/>
        </w:rPr>
      </w:pPr>
    </w:p>
    <w:p w:rsidR="00DB745C" w:rsidRPr="00DB745C" w:rsidP="00DB745C" w14:paraId="1BDF6308" w14:textId="77777777">
      <w:pPr>
        <w:spacing w:after="0" w:line="240" w:lineRule="auto"/>
        <w:rPr>
          <w:rFonts w:ascii="Arial Narrow" w:eastAsia="Times New Roman" w:hAnsi="Arial Narrow" w:cs="Times New Roman"/>
          <w:b/>
          <w:color w:val="013C59"/>
          <w:sz w:val="16"/>
          <w:szCs w:val="16"/>
        </w:rPr>
      </w:pPr>
      <w:r w:rsidRPr="00DB745C">
        <w:rPr>
          <w:rFonts w:ascii="Arial Narrow" w:eastAsia="Times New Roman" w:hAnsi="Arial Narrow" w:cs="Times New Roman"/>
          <w:b/>
          <w:noProof/>
          <w:color w:val="013C59"/>
          <w:sz w:val="16"/>
          <w:szCs w:val="16"/>
        </w:rPr>
        <w:drawing>
          <wp:inline distT="0" distB="0" distL="0" distR="0">
            <wp:extent cx="5943600" cy="770890"/>
            <wp:effectExtent l="0" t="0" r="0" b="0"/>
            <wp:docPr id="7"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AI-generated content may be incorrect."/>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DB745C" w:rsidRPr="00DB745C" w:rsidP="00DB745C" w14:paraId="63E6E326" w14:textId="77777777">
      <w:pPr>
        <w:spacing w:after="0" w:line="240" w:lineRule="auto"/>
        <w:rPr>
          <w:rFonts w:ascii="Arial Narrow" w:eastAsia="Times New Roman" w:hAnsi="Arial Narrow" w:cs="Times New Roman"/>
          <w:b/>
          <w:color w:val="013C59"/>
          <w:sz w:val="16"/>
          <w:szCs w:val="16"/>
        </w:rPr>
      </w:pPr>
    </w:p>
    <w:p w:rsidR="00DB745C" w:rsidRPr="00DB745C" w:rsidP="00DB745C" w14:paraId="2BA52051" w14:textId="77777777">
      <w:pPr>
        <w:spacing w:after="0" w:line="240" w:lineRule="auto"/>
        <w:rPr>
          <w:rFonts w:ascii="Arial Narrow" w:eastAsia="Times New Roman" w:hAnsi="Arial Narrow" w:cs="Times New Roman"/>
          <w:b/>
          <w:color w:val="013C59"/>
          <w:sz w:val="16"/>
          <w:szCs w:val="16"/>
        </w:rPr>
      </w:pPr>
      <w:r w:rsidRPr="00DB745C">
        <w:rPr>
          <w:rFonts w:ascii="Arial Narrow" w:eastAsia="Times New Roman" w:hAnsi="Arial Narrow" w:cs="Times New Roman"/>
          <w:b/>
          <w:noProof/>
          <w:color w:val="013C59"/>
          <w:sz w:val="16"/>
          <w:szCs w:val="16"/>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rgbClr val="FFFFFF">
                            <a:lumMod val="95000"/>
                          </a:srgbClr>
                        </a:solidFill>
                        <a:ln w="6350">
                          <a:noFill/>
                        </a:ln>
                        <a:effectLst/>
                      </wps:spPr>
                      <wps:txbx>
                        <w:txbxContent>
                          <w:p w:rsidR="00DB745C" w:rsidRPr="0025139E" w:rsidP="00DB74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DB745C" w:rsidRPr="0025139E" w:rsidP="00DB745C" w14:paraId="5EE5F65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DB745C">
        <w:rPr>
          <w:rFonts w:ascii="Arial Narrow" w:eastAsia="Times New Roman" w:hAnsi="Arial Narrow" w:cs="Times New Roman"/>
          <w:b/>
          <w:noProof/>
          <w:color w:val="013C59"/>
          <w:sz w:val="16"/>
          <w:szCs w:val="16"/>
        </w:rPr>
        <w:drawing>
          <wp:inline distT="0" distB="0" distL="0" distR="0">
            <wp:extent cx="5943600" cy="759006"/>
            <wp:effectExtent l="0" t="0" r="0" b="3175"/>
            <wp:docPr id="8" name="Picture 8"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screen with white text&#10;&#10;AI-generated content may be incorrect."/>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p w:rsidR="0057441E" w:rsidRPr="009C15C4" w:rsidP="00DB745C" w14:paraId="0677B869" w14:textId="6434F69E">
      <w:pPr>
        <w:pStyle w:val="DisclaimerHeading"/>
      </w:pPr>
    </w:p>
    <w:sectPr w:rsidSect="00A86205">
      <w:headerReference w:type="default" r:id="rId11"/>
      <w:footerReference w:type="even" r:id="rId12"/>
      <w:footerReference w:type="default" r:id="rId13"/>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745C" w14:paraId="4651F17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B745C" w14:paraId="50A8F3D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745C" w:rsidP="00DB29E9" w14:paraId="06554269"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B2B7E">
      <w:rPr>
        <w:rStyle w:val="PageNumber"/>
        <w:noProof/>
      </w:rPr>
      <w:t>1</w:t>
    </w:r>
    <w:r>
      <w:rPr>
        <w:rStyle w:val="PageNumber"/>
      </w:rPr>
      <w:fldChar w:fldCharType="end"/>
    </w:r>
  </w:p>
  <w:bookmarkStart w:id="2" w:name="OLE_LINK1"/>
  <w:p w:rsidR="00B62597" w:rsidRPr="001678E8" w14:paraId="0FE17490" w14:textId="5C225EC2">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745C" w:rsidRPr="00711249" w:rsidP="00A86205" w14:paraId="18F499CE"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37970DC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288E45B" w14:textId="37970DC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05"/>
    <w:rsid w:val="00010057"/>
    <w:rsid w:val="000232DF"/>
    <w:rsid w:val="00027F49"/>
    <w:rsid w:val="000333FF"/>
    <w:rsid w:val="000538D7"/>
    <w:rsid w:val="0006798D"/>
    <w:rsid w:val="00092135"/>
    <w:rsid w:val="00096230"/>
    <w:rsid w:val="000C2A8E"/>
    <w:rsid w:val="00117AF9"/>
    <w:rsid w:val="00121F58"/>
    <w:rsid w:val="001678E8"/>
    <w:rsid w:val="00170E02"/>
    <w:rsid w:val="001B2242"/>
    <w:rsid w:val="001C0CC0"/>
    <w:rsid w:val="001D3B68"/>
    <w:rsid w:val="00200A1B"/>
    <w:rsid w:val="002113BD"/>
    <w:rsid w:val="0025139E"/>
    <w:rsid w:val="002B2CB6"/>
    <w:rsid w:val="002B2F98"/>
    <w:rsid w:val="002C6057"/>
    <w:rsid w:val="002F6131"/>
    <w:rsid w:val="00305238"/>
    <w:rsid w:val="00320ACB"/>
    <w:rsid w:val="003251CE"/>
    <w:rsid w:val="00337321"/>
    <w:rsid w:val="003857AE"/>
    <w:rsid w:val="00394850"/>
    <w:rsid w:val="003B55E1"/>
    <w:rsid w:val="003C3320"/>
    <w:rsid w:val="003D7E5C"/>
    <w:rsid w:val="003E7A73"/>
    <w:rsid w:val="003F046E"/>
    <w:rsid w:val="00447EFD"/>
    <w:rsid w:val="0046043F"/>
    <w:rsid w:val="00491490"/>
    <w:rsid w:val="00494494"/>
    <w:rsid w:val="004969FA"/>
    <w:rsid w:val="004F3D57"/>
    <w:rsid w:val="00527104"/>
    <w:rsid w:val="00564DEE"/>
    <w:rsid w:val="0057441E"/>
    <w:rsid w:val="005A5D0D"/>
    <w:rsid w:val="005D6D05"/>
    <w:rsid w:val="006024A0"/>
    <w:rsid w:val="00602967"/>
    <w:rsid w:val="00606F11"/>
    <w:rsid w:val="00634173"/>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552A3"/>
    <w:rsid w:val="00882652"/>
    <w:rsid w:val="00911156"/>
    <w:rsid w:val="00914902"/>
    <w:rsid w:val="00917386"/>
    <w:rsid w:val="0097702E"/>
    <w:rsid w:val="00991528"/>
    <w:rsid w:val="009A5430"/>
    <w:rsid w:val="009B2B7E"/>
    <w:rsid w:val="009C15C4"/>
    <w:rsid w:val="009C7250"/>
    <w:rsid w:val="009F53F9"/>
    <w:rsid w:val="00A05391"/>
    <w:rsid w:val="00A317A9"/>
    <w:rsid w:val="00A36FEA"/>
    <w:rsid w:val="00A41149"/>
    <w:rsid w:val="00A56D57"/>
    <w:rsid w:val="00A86205"/>
    <w:rsid w:val="00A931C3"/>
    <w:rsid w:val="00AC2247"/>
    <w:rsid w:val="00B16D95"/>
    <w:rsid w:val="00B20316"/>
    <w:rsid w:val="00B34E3C"/>
    <w:rsid w:val="00B42FAE"/>
    <w:rsid w:val="00B62597"/>
    <w:rsid w:val="00BA6146"/>
    <w:rsid w:val="00BB531B"/>
    <w:rsid w:val="00BB6921"/>
    <w:rsid w:val="00BF331B"/>
    <w:rsid w:val="00BF5D60"/>
    <w:rsid w:val="00C10A93"/>
    <w:rsid w:val="00C31CC8"/>
    <w:rsid w:val="00C439EC"/>
    <w:rsid w:val="00C5307B"/>
    <w:rsid w:val="00C72168"/>
    <w:rsid w:val="00C757F4"/>
    <w:rsid w:val="00C75A9D"/>
    <w:rsid w:val="00CA3B17"/>
    <w:rsid w:val="00CA49B9"/>
    <w:rsid w:val="00CB19DE"/>
    <w:rsid w:val="00CB475B"/>
    <w:rsid w:val="00CC1B47"/>
    <w:rsid w:val="00CE451E"/>
    <w:rsid w:val="00D06EC8"/>
    <w:rsid w:val="00D136EA"/>
    <w:rsid w:val="00D251ED"/>
    <w:rsid w:val="00D827A6"/>
    <w:rsid w:val="00D831E4"/>
    <w:rsid w:val="00D95949"/>
    <w:rsid w:val="00DA23DE"/>
    <w:rsid w:val="00DB29E9"/>
    <w:rsid w:val="00DB745C"/>
    <w:rsid w:val="00DE34CF"/>
    <w:rsid w:val="00DE77B9"/>
    <w:rsid w:val="00DF1112"/>
    <w:rsid w:val="00E32B6B"/>
    <w:rsid w:val="00E5387A"/>
    <w:rsid w:val="00E55E84"/>
    <w:rsid w:val="00E946F8"/>
    <w:rsid w:val="00EB68B0"/>
    <w:rsid w:val="00F4190F"/>
    <w:rsid w:val="00F5077C"/>
    <w:rsid w:val="00FB1739"/>
    <w:rsid w:val="00FC2B9A"/>
    <w:rsid w:val="00FC5A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057C17"/>
  <w15:docId w15:val="{3CCB0D61-2304-4BA6-81BA-4C814492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DotCom/committees-groups/pjm-antitrust-guidelinesw-for-the-stakeholder-meetings.pdf" TargetMode="External" /><Relationship Id="rId5" Type="http://schemas.openxmlformats.org/officeDocument/2006/relationships/hyperlink" Target="https://www.pjm.com/committees-and-groups"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quevaj\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