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9E253D" w:rsidRPr="00B62597" w:rsidP="009E253D">
      <w:pPr>
        <w:pStyle w:val="MeetingDetails"/>
      </w:pPr>
      <w:r>
        <w:t>Reliability Standards and Compliance Subcommittee</w:t>
      </w:r>
    </w:p>
    <w:p w:rsidR="009E253D" w:rsidRPr="00B62597" w:rsidP="009E253D">
      <w:pPr>
        <w:pStyle w:val="MeetingDetails"/>
      </w:pPr>
      <w:r>
        <w:t>Webex/Conference Call</w:t>
      </w:r>
    </w:p>
    <w:p w:rsidR="009E253D" w:rsidRPr="00B62597" w:rsidP="009E253D">
      <w:pPr>
        <w:pStyle w:val="MeetingDetails"/>
      </w:pPr>
      <w:r>
        <w:t>May 13</w:t>
      </w:r>
      <w:r w:rsidR="00A33184">
        <w:t>, 2024</w:t>
      </w:r>
    </w:p>
    <w:p w:rsidR="009E253D" w:rsidP="009E253D">
      <w:pPr>
        <w:pStyle w:val="MeetingDetails"/>
      </w:pPr>
      <w:r>
        <w:t>9:00 a.m. – 10:00 a.m. EPT</w:t>
      </w:r>
    </w:p>
    <w:p w:rsidR="00226D51" w:rsidP="00226D51">
      <w:pPr>
        <w:spacing w:after="0" w:line="240" w:lineRule="auto"/>
        <w:rPr>
          <w:rFonts w:ascii="Arial Narrow" w:eastAsia="Times New Roman" w:hAnsi="Arial Narrow" w:cs="Times New Roman"/>
          <w:color w:val="0D83FC" w:themeColor="accent1" w:themeTint="99"/>
          <w:sz w:val="24"/>
          <w:szCs w:val="24"/>
        </w:rPr>
      </w:pPr>
    </w:p>
    <w:p w:rsidR="00B62597" w:rsidRPr="00B62597" w:rsidP="007C2954">
      <w:pPr>
        <w:pStyle w:val="PrimaryHeading"/>
        <w:rPr>
          <w:caps/>
        </w:rPr>
      </w:pPr>
      <w:bookmarkStart w:id="0" w:name="OLE_LINK5"/>
      <w:bookmarkStart w:id="1" w:name="OLE_LINK3"/>
      <w:r w:rsidRPr="00527104">
        <w:t>Adm</w:t>
      </w:r>
      <w:r w:rsidRPr="007C2954">
        <w:t>inistrati</w:t>
      </w:r>
      <w:r w:rsidRPr="00527104">
        <w:t xml:space="preserve">on </w:t>
      </w:r>
      <w:r w:rsidRPr="00527104" w:rsidR="009E253D">
        <w:t>(</w:t>
      </w:r>
      <w:r w:rsidR="009E253D">
        <w:t>9:00-9</w:t>
      </w:r>
      <w:r w:rsidRPr="00527104" w:rsidR="009E253D">
        <w:t>:</w:t>
      </w:r>
      <w:r w:rsidR="009E253D">
        <w:t>10</w:t>
      </w:r>
      <w:r w:rsidRPr="00527104" w:rsidR="009E253D">
        <w:t>)</w:t>
      </w:r>
    </w:p>
    <w:bookmarkEnd w:id="0"/>
    <w:bookmarkEnd w:id="1"/>
    <w:p w:rsidR="009E253D" w:rsidP="009E253D">
      <w:pPr>
        <w:pStyle w:val="SecondaryHeading-Numbered"/>
        <w:numPr>
          <w:ilvl w:val="0"/>
          <w:numId w:val="13"/>
        </w:numPr>
        <w:rPr>
          <w:b w:val="0"/>
        </w:rPr>
      </w:pPr>
      <w:r>
        <w:rPr>
          <w:b w:val="0"/>
        </w:rPr>
        <w:t>Welcome and A</w:t>
      </w:r>
      <w:r w:rsidRPr="00102A9C">
        <w:rPr>
          <w:b w:val="0"/>
        </w:rPr>
        <w:t>nnouncement</w:t>
      </w:r>
      <w:r>
        <w:rPr>
          <w:b w:val="0"/>
        </w:rPr>
        <w:t xml:space="preserve">s </w:t>
      </w:r>
    </w:p>
    <w:p w:rsidR="009E253D" w:rsidP="009E253D">
      <w:pPr>
        <w:pStyle w:val="ListedItem"/>
        <w:numPr>
          <w:ilvl w:val="1"/>
          <w:numId w:val="13"/>
        </w:numPr>
        <w:rPr>
          <w:rFonts w:eastAsiaTheme="minorHAnsi"/>
        </w:rPr>
      </w:pPr>
      <w:r w:rsidRPr="005F64F0">
        <w:rPr>
          <w:rFonts w:cs="ArialNarrow-Bold"/>
          <w:bCs/>
          <w:szCs w:val="24"/>
        </w:rPr>
        <w:t xml:space="preserve">Review of </w:t>
      </w:r>
      <w:r w:rsidRPr="000201E9">
        <w:t xml:space="preserve">Antitrust Guidelines, Code of Conduct, Public Meetings/Media Participation, Webex Participant Identification Requirements and </w:t>
      </w:r>
      <w:r w:rsidRPr="005F64F0">
        <w:rPr>
          <w:rFonts w:eastAsiaTheme="minorHAnsi"/>
        </w:rPr>
        <w:t>Compliance Disclaimer</w:t>
      </w:r>
    </w:p>
    <w:p w:rsidR="009E253D" w:rsidP="009E253D">
      <w:pPr>
        <w:pStyle w:val="ListedItem"/>
        <w:numPr>
          <w:ilvl w:val="1"/>
          <w:numId w:val="13"/>
        </w:numPr>
        <w:rPr>
          <w:rFonts w:eastAsiaTheme="minorHAnsi"/>
        </w:rPr>
      </w:pPr>
      <w:r w:rsidRPr="005F64F0">
        <w:rPr>
          <w:rFonts w:eastAsiaTheme="minorHAnsi"/>
        </w:rPr>
        <w:t>Webex report will be used for attendance</w:t>
      </w:r>
    </w:p>
    <w:p w:rsidR="009E253D" w:rsidRPr="00226D51" w:rsidP="009E253D">
      <w:pPr>
        <w:pStyle w:val="ListedItem"/>
        <w:numPr>
          <w:ilvl w:val="1"/>
          <w:numId w:val="13"/>
        </w:numPr>
        <w:rPr>
          <w:rFonts w:eastAsiaTheme="minorHAnsi"/>
        </w:rPr>
      </w:pPr>
      <w:r>
        <w:rPr>
          <w:rFonts w:cs="ArialNarrow-Bold"/>
          <w:bCs/>
          <w:szCs w:val="24"/>
        </w:rPr>
        <w:t>A</w:t>
      </w:r>
      <w:r w:rsidRPr="000201E9">
        <w:rPr>
          <w:rFonts w:cs="ArialNarrow-Bold"/>
          <w:bCs/>
          <w:szCs w:val="24"/>
        </w:rPr>
        <w:t>pproval of Agenda</w:t>
      </w:r>
    </w:p>
    <w:p w:rsidR="009E253D" w:rsidRPr="00226D51" w:rsidP="009E253D">
      <w:pPr>
        <w:pStyle w:val="ListedItem"/>
        <w:numPr>
          <w:ilvl w:val="1"/>
          <w:numId w:val="13"/>
        </w:numPr>
        <w:rPr>
          <w:rFonts w:eastAsiaTheme="minorHAnsi"/>
        </w:rPr>
      </w:pPr>
      <w:r w:rsidRPr="005F64F0">
        <w:rPr>
          <w:rFonts w:cs="ArialNarrow-Bold"/>
          <w:bCs/>
          <w:szCs w:val="24"/>
        </w:rPr>
        <w:t>Approval of the Minutes from the</w:t>
      </w:r>
      <w:r>
        <w:t xml:space="preserve"> </w:t>
      </w:r>
      <w:r w:rsidR="00F56BFE">
        <w:t>April 15</w:t>
      </w:r>
      <w:r>
        <w:t>, 202</w:t>
      </w:r>
      <w:r w:rsidR="00F84950">
        <w:t>4</w:t>
      </w:r>
      <w:r>
        <w:rPr>
          <w:rFonts w:cs="ArialNarrow-Bold"/>
          <w:bCs/>
          <w:szCs w:val="24"/>
        </w:rPr>
        <w:t>,</w:t>
      </w:r>
      <w:r w:rsidRPr="005F64F0">
        <w:rPr>
          <w:rFonts w:cs="ArialNarrow-Bold"/>
          <w:bCs/>
          <w:szCs w:val="24"/>
        </w:rPr>
        <w:t xml:space="preserve"> RSCS meeting</w:t>
      </w:r>
    </w:p>
    <w:p w:rsidR="009E253D" w:rsidRPr="00C26AD0" w:rsidP="009E253D">
      <w:pPr>
        <w:pStyle w:val="PrimaryHeading"/>
      </w:pPr>
      <w:r w:rsidRPr="00C26AD0">
        <w:rPr>
          <w:rFonts w:cs="ArialNarrow-Bold"/>
          <w:bCs/>
          <w:color w:val="FFFFFF"/>
        </w:rPr>
        <w:t>PJM Compliance Activities</w:t>
      </w:r>
      <w:r w:rsidRPr="00C26AD0">
        <w:t xml:space="preserve"> (</w:t>
      </w:r>
      <w:r>
        <w:t>9</w:t>
      </w:r>
      <w:r w:rsidRPr="00C26AD0">
        <w:t>:</w:t>
      </w:r>
      <w:r>
        <w:t>10</w:t>
      </w:r>
      <w:r w:rsidRPr="00C26AD0">
        <w:t>-</w:t>
      </w:r>
      <w:r>
        <w:t>9:35</w:t>
      </w:r>
      <w:r w:rsidRPr="00C26AD0">
        <w:t>)</w:t>
      </w:r>
    </w:p>
    <w:p w:rsidR="00B62597" w:rsidP="009E253D">
      <w:pPr>
        <w:pStyle w:val="SecondaryHeading-Numbered"/>
        <w:numPr>
          <w:ilvl w:val="0"/>
          <w:numId w:val="13"/>
        </w:numPr>
        <w:rPr>
          <w:b w:val="0"/>
        </w:rPr>
      </w:pPr>
      <w:r>
        <w:rPr>
          <w:b w:val="0"/>
        </w:rPr>
        <w:t>Manual Updates</w:t>
      </w:r>
    </w:p>
    <w:p w:rsidR="00B62597" w:rsidP="009E253D">
      <w:pPr>
        <w:pStyle w:val="SecondaryHeading-Numbered"/>
        <w:numPr>
          <w:ilvl w:val="0"/>
          <w:numId w:val="13"/>
        </w:numPr>
        <w:rPr>
          <w:b w:val="0"/>
        </w:rPr>
      </w:pPr>
      <w:r>
        <w:rPr>
          <w:b w:val="0"/>
        </w:rPr>
        <w:t>Data Requests</w:t>
      </w:r>
    </w:p>
    <w:p w:rsidR="000A6866" w:rsidP="00BE4B35">
      <w:pPr>
        <w:pStyle w:val="SecondaryHeading-Numbered"/>
        <w:numPr>
          <w:ilvl w:val="1"/>
          <w:numId w:val="13"/>
        </w:numPr>
        <w:rPr>
          <w:b w:val="0"/>
        </w:rPr>
      </w:pPr>
      <w:r>
        <w:rPr>
          <w:b w:val="0"/>
        </w:rPr>
        <w:t>Antonio Papaconstandinou</w:t>
      </w:r>
      <w:r>
        <w:rPr>
          <w:b w:val="0"/>
        </w:rPr>
        <w:t>, PJM, will provide an update on NERC Reliability Standard TPL-001-5.1</w:t>
      </w:r>
    </w:p>
    <w:p w:rsidR="009E253D" w:rsidP="009E253D">
      <w:pPr>
        <w:pStyle w:val="PrimaryHeading"/>
      </w:pPr>
      <w:r>
        <w:t>FERC, NERC, and Regional Activities (9:</w:t>
      </w:r>
      <w:r w:rsidR="00F927D8">
        <w:t>3</w:t>
      </w:r>
      <w:r>
        <w:t>5-9:55</w:t>
      </w:r>
      <w:r w:rsidRPr="00DB29E9">
        <w:t>)</w:t>
      </w:r>
    </w:p>
    <w:p w:rsidR="00655D91" w:rsidP="00655D91">
      <w:pPr>
        <w:pStyle w:val="SecondaryHeading-Numbered"/>
        <w:numPr>
          <w:ilvl w:val="0"/>
          <w:numId w:val="13"/>
        </w:numPr>
        <w:rPr>
          <w:b w:val="0"/>
        </w:rPr>
      </w:pPr>
      <w:r w:rsidRPr="00655D91">
        <w:rPr>
          <w:b w:val="0"/>
        </w:rPr>
        <w:t>David Schooley, Exelon, will provide information regarding proposed revisions related to Project 2023-06 CIP-014 Risk Assessment Refinement</w:t>
      </w:r>
    </w:p>
    <w:p w:rsidR="00226D51" w:rsidP="00C470C0">
      <w:pPr>
        <w:pStyle w:val="SecondaryHeading-Numbered"/>
        <w:numPr>
          <w:ilvl w:val="0"/>
          <w:numId w:val="13"/>
        </w:numPr>
        <w:rPr>
          <w:b w:val="0"/>
        </w:rPr>
      </w:pPr>
      <w:r>
        <w:rPr>
          <w:b w:val="0"/>
        </w:rPr>
        <w:t>Gizella Mali</w:t>
      </w:r>
      <w:r w:rsidR="009E253D">
        <w:rPr>
          <w:b w:val="0"/>
        </w:rPr>
        <w:t>, PJM, will provide an update on FERC, NERC and regional activities.</w:t>
      </w:r>
      <w:bookmarkStart w:id="2" w:name="_GoBack"/>
      <w:bookmarkEnd w:id="2"/>
    </w:p>
    <w:p w:rsidR="00A14094" w:rsidRPr="00C470C0" w:rsidP="00C470C0">
      <w:pPr>
        <w:pStyle w:val="SecondaryHeading-Numbered"/>
        <w:numPr>
          <w:ilvl w:val="0"/>
          <w:numId w:val="13"/>
        </w:numPr>
        <w:rPr>
          <w:b w:val="0"/>
        </w:rPr>
      </w:pPr>
      <w:r>
        <w:rPr>
          <w:b w:val="0"/>
        </w:rPr>
        <w:t>Gizella Mali, PJM, will provide an update on NERC/RF Request – Blackstart Study</w:t>
      </w: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
      <w:tblGrid>
        <w:gridCol w:w="9360"/>
      </w:tblGrid>
      <w:tr w:rsidTr="00DF1112">
        <w:tblPrEx>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tblPrEx>
        <w:trPr>
          <w:trHeight w:val="331"/>
        </w:trPr>
        <w:tc>
          <w:tcPr>
            <w:tcW w:w="9360" w:type="dxa"/>
            <w:shd w:val="clear" w:color="auto" w:fill="00B0F0" w:themeFill="accent3"/>
          </w:tcPr>
          <w:p w:rsidR="003C3320" w:rsidRPr="0095194C" w:rsidP="00DF1112">
            <w:pPr>
              <w:pStyle w:val="PrimaryHeading"/>
              <w:spacing w:after="0"/>
              <w:rPr>
                <w:b/>
              </w:rPr>
            </w:pPr>
            <w:r w:rsidRPr="0095194C">
              <w:rPr>
                <w:b/>
              </w:rPr>
              <w:t xml:space="preserve">Future Agenda Items </w:t>
            </w:r>
            <w:r w:rsidRPr="009E253D" w:rsidR="009E253D">
              <w:rPr>
                <w:b/>
              </w:rPr>
              <w:t>(9:55-10:00)</w:t>
            </w:r>
          </w:p>
        </w:tc>
      </w:tr>
      <w:tr w:rsidTr="009D7613">
        <w:tblPrEx>
          <w:tblW w:w="0" w:type="auto"/>
          <w:tblLayout w:type="fixed"/>
          <w:tblCellMar>
            <w:top w:w="43" w:type="dxa"/>
            <w:left w:w="115" w:type="dxa"/>
            <w:right w:w="115" w:type="dxa"/>
          </w:tblCellMar>
          <w:tblLook w:val="04A0"/>
        </w:tblPrEx>
        <w:trPr>
          <w:trHeight w:val="296"/>
        </w:trPr>
        <w:tc>
          <w:tcPr>
            <w:tcW w:w="9360" w:type="dxa"/>
            <w:tcBorders>
              <w:bottom w:val="single" w:sz="4" w:space="0" w:color="93E2FE" w:themeColor="accent3" w:themeTint="66"/>
            </w:tcBorders>
            <w:shd w:val="clear" w:color="auto" w:fill="auto"/>
          </w:tcPr>
          <w:p w:rsidR="003C3320" w:rsidP="009E253D">
            <w:pPr>
              <w:pStyle w:val="SecondaryHeading-Numbered"/>
              <w:numPr>
                <w:ilvl w:val="0"/>
                <w:numId w:val="0"/>
              </w:numPr>
            </w:pPr>
            <w:r w:rsidRPr="00CF4F4D">
              <w:t>Participants will have the opportunity to request the addition of any new it</w:t>
            </w:r>
            <w:r>
              <w:t xml:space="preserve">em(s) to the agenda of a future </w:t>
            </w:r>
            <w:r w:rsidRPr="00CF4F4D">
              <w:t>meeting.</w:t>
            </w:r>
          </w:p>
        </w:tc>
      </w:tr>
    </w:tbl>
    <w:p w:rsidR="003C3320" w:rsidP="003C3320">
      <w:pPr>
        <w:pStyle w:val="NoListBody"/>
        <w:ind w:left="0"/>
      </w:pPr>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01"/>
        <w:gridCol w:w="983"/>
        <w:gridCol w:w="3756"/>
        <w:gridCol w:w="1816"/>
        <w:gridCol w:w="1529"/>
      </w:tblGrid>
      <w:tr w:rsidTr="00CE451E">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P="00CE451E">
            <w:pPr>
              <w:pStyle w:val="PrimaryHeading"/>
              <w:keepNext w:val="0"/>
              <w:keepLines/>
              <w:spacing w:after="0"/>
              <w:jc w:val="left"/>
              <w:rPr>
                <w:b/>
                <w:i w:val="0"/>
              </w:rPr>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r w:rsidR="00CE451E">
              <w:rPr>
                <w:b/>
                <w:color w:val="FFFFFF" w:themeColor="background1"/>
                <w:sz w:val="19"/>
                <w:szCs w:val="19"/>
              </w:rPr>
              <w:t xml:space="preserve"> </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P="00CE451E">
            <w:pPr>
              <w:pStyle w:val="DisclaimerHeading"/>
              <w:keepLines/>
              <w:spacing w:before="40" w:after="40"/>
              <w:jc w:val="center"/>
              <w:rPr>
                <w:b/>
                <w:color w:val="FFFFFF" w:themeColor="background1"/>
                <w:sz w:val="19"/>
                <w:szCs w:val="19"/>
              </w:rPr>
            </w:pPr>
            <w:r w:rsidRPr="00DA23DE">
              <w:rPr>
                <w:b/>
                <w:color w:val="FFFFFF" w:themeColor="background1"/>
                <w:sz w:val="19"/>
                <w:szCs w:val="19"/>
              </w:rPr>
              <w:t>Materials Published</w:t>
            </w:r>
          </w:p>
        </w:tc>
      </w:tr>
      <w:tr w:rsidTr="00CE451E">
        <w:tblPrEx>
          <w:tblW w:w="0" w:type="auto"/>
          <w:tblLook w:val="04A0"/>
        </w:tblPrEx>
        <w:trPr>
          <w:trHeight w:val="296"/>
        </w:trPr>
        <w:tc>
          <w:tcPr>
            <w:tcW w:w="1201" w:type="dxa"/>
            <w:vMerge w:val="restart"/>
            <w:tcBorders>
              <w:top w:val="single" w:sz="4" w:space="0" w:color="auto"/>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i w:val="0"/>
                <w:color w:val="auto"/>
                <w:sz w:val="19"/>
                <w:szCs w:val="19"/>
              </w:rPr>
            </w:pPr>
            <w:r w:rsidRPr="00BB6921">
              <w:rPr>
                <w:i w:val="0"/>
                <w:color w:val="auto"/>
                <w:sz w:val="19"/>
                <w:szCs w:val="19"/>
              </w:rPr>
              <w:t>Date</w:t>
            </w:r>
          </w:p>
        </w:tc>
        <w:tc>
          <w:tcPr>
            <w:tcW w:w="983" w:type="dxa"/>
            <w:vMerge w:val="restart"/>
            <w:tcBorders>
              <w:top w:val="single" w:sz="4" w:space="0" w:color="auto"/>
              <w:left w:val="single" w:sz="6" w:space="0" w:color="FFFFFF" w:themeColor="background1"/>
              <w:bottom w:val="single" w:sz="8" w:space="0" w:color="013366" w:themeColor="accent1"/>
              <w:right w:val="single" w:sz="6" w:space="0" w:color="FFFFFF" w:themeColor="background1"/>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Time</w:t>
            </w:r>
          </w:p>
        </w:tc>
        <w:tc>
          <w:tcPr>
            <w:tcW w:w="3756" w:type="dxa"/>
            <w:vMerge w:val="restart"/>
            <w:tcBorders>
              <w:top w:val="single" w:sz="4" w:space="0" w:color="auto"/>
              <w:left w:val="single" w:sz="6" w:space="0" w:color="FFFFFF" w:themeColor="background1"/>
              <w:bottom w:val="single" w:sz="8" w:space="0" w:color="013366" w:themeColor="accent1"/>
              <w:right w:val="single" w:sz="8" w:space="0" w:color="auto"/>
            </w:tcBorders>
            <w:shd w:val="clear" w:color="auto" w:fill="000000" w:themeFill="text2"/>
            <w:vAlign w:val="bottom"/>
          </w:tcPr>
          <w:p w:rsidR="00CE451E" w:rsidRPr="00BB6921" w:rsidP="00CE451E">
            <w:pPr>
              <w:pStyle w:val="DisclaimerHeading"/>
              <w:keepLines/>
              <w:spacing w:after="60"/>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CE451E" w:rsidRPr="00C10A93" w:rsidP="00CE451E">
            <w:pPr>
              <w:pStyle w:val="DisclaimerHeading"/>
              <w:keepLines/>
              <w:jc w:val="center"/>
              <w:rPr>
                <w:color w:val="FFFFFF" w:themeColor="background1"/>
                <w:sz w:val="19"/>
                <w:szCs w:val="19"/>
              </w:rPr>
            </w:pPr>
          </w:p>
        </w:tc>
      </w:tr>
      <w:tr w:rsidTr="00CE451E">
        <w:tblPrEx>
          <w:tblW w:w="0" w:type="auto"/>
          <w:tblLook w:val="04A0"/>
        </w:tblPrEx>
        <w:trPr>
          <w:trHeight w:val="331"/>
        </w:trPr>
        <w:tc>
          <w:tcPr>
            <w:tcW w:w="1201" w:type="dxa"/>
            <w:vMerge/>
            <w:tcBorders>
              <w:top w:val="single" w:sz="12" w:space="0" w:color="013366" w:themeColor="accent1"/>
              <w:bottom w:val="none" w:sz="0" w:space="0" w:color="auto"/>
              <w:right w:val="single" w:sz="6" w:space="0" w:color="FFFFFF" w:themeColor="background1"/>
            </w:tcBorders>
            <w:shd w:val="clear" w:color="auto" w:fill="E1F6FF"/>
          </w:tcPr>
          <w:p w:rsidR="00CE451E" w:rsidRPr="00BB6921" w:rsidP="00CE451E">
            <w:pPr>
              <w:pStyle w:val="DisclaimerHeading"/>
              <w:keepLines/>
              <w:spacing w:before="40" w:after="40" w:line="220" w:lineRule="exact"/>
              <w:jc w:val="left"/>
              <w:rPr>
                <w:b w:val="0"/>
                <w:i w:val="0"/>
                <w:color w:val="auto"/>
                <w:sz w:val="18"/>
                <w:szCs w:val="18"/>
              </w:rPr>
            </w:pPr>
          </w:p>
        </w:tc>
        <w:tc>
          <w:tcPr>
            <w:tcW w:w="983" w:type="dxa"/>
            <w:vMerge/>
            <w:tcBorders>
              <w:top w:val="single" w:sz="12" w:space="0" w:color="013366" w:themeColor="accent1"/>
              <w:left w:val="single" w:sz="6" w:space="0" w:color="FFFFFF" w:themeColor="background1"/>
              <w:right w:val="single" w:sz="6" w:space="0" w:color="FFFFFF" w:themeColor="background1"/>
            </w:tcBorders>
          </w:tcPr>
          <w:p w:rsidR="00CE451E" w:rsidRPr="00C10A93" w:rsidP="00CE451E">
            <w:pPr>
              <w:pStyle w:val="DisclaimerHeading"/>
              <w:keepLines/>
              <w:spacing w:before="40" w:after="40" w:line="220" w:lineRule="exact"/>
              <w:rPr>
                <w:b w:val="0"/>
                <w:color w:val="auto"/>
                <w:sz w:val="18"/>
                <w:szCs w:val="18"/>
              </w:rPr>
            </w:pPr>
          </w:p>
        </w:tc>
        <w:tc>
          <w:tcPr>
            <w:tcW w:w="3756" w:type="dxa"/>
            <w:vMerge/>
            <w:tcBorders>
              <w:top w:val="single" w:sz="12" w:space="0" w:color="013366" w:themeColor="accent1"/>
              <w:left w:val="single" w:sz="6" w:space="0" w:color="FFFFFF" w:themeColor="background1"/>
              <w:right w:val="single" w:sz="8" w:space="0" w:color="auto"/>
            </w:tcBorders>
          </w:tcPr>
          <w:p w:rsidR="00CE451E" w:rsidRPr="00C10A93" w:rsidP="00CE451E">
            <w:pPr>
              <w:pStyle w:val="AttendeesList"/>
              <w:keepLines/>
              <w:spacing w:before="40" w:after="40" w:line="220" w:lineRule="exact"/>
              <w:rPr>
                <w:szCs w:val="18"/>
              </w:rPr>
            </w:pPr>
          </w:p>
        </w:tc>
        <w:tc>
          <w:tcPr>
            <w:tcW w:w="3345" w:type="dxa"/>
            <w:gridSpan w:val="2"/>
            <w:tcBorders>
              <w:top w:val="single" w:sz="6" w:space="0" w:color="FFFFFF" w:themeColor="background1"/>
              <w:left w:val="single" w:sz="4" w:space="0" w:color="auto"/>
              <w:right w:val="single" w:sz="4" w:space="0" w:color="auto"/>
            </w:tcBorders>
            <w:shd w:val="clear" w:color="auto" w:fill="013366" w:themeFill="accent1"/>
          </w:tcPr>
          <w:p w:rsidR="00CE451E" w:rsidRPr="00CE451E" w:rsidP="00CE451E">
            <w:pPr>
              <w:pStyle w:val="DisclaimerHeading"/>
              <w:keepLines/>
              <w:spacing w:before="40" w:after="40" w:line="220" w:lineRule="exact"/>
              <w:jc w:val="center"/>
              <w:rPr>
                <w:b w:val="0"/>
                <w:i/>
                <w:color w:val="013366" w:themeColor="accent1"/>
                <w:sz w:val="18"/>
                <w:szCs w:val="18"/>
              </w:rPr>
            </w:pPr>
            <w:r w:rsidRPr="00CE451E">
              <w:rPr>
                <w:b w:val="0"/>
                <w:i/>
                <w:color w:val="FFFFFF" w:themeColor="background1"/>
                <w:sz w:val="19"/>
                <w:szCs w:val="19"/>
              </w:rPr>
              <w:t>5:00 p.m. EPT deadline*</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06/10/2024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05/31/2024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06/05/2024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07/15/2024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07/05/2024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07/10/2024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08/12/2024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08/02/2024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08/07/2024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09/16/2024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09/06/2024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09/11/2024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10/18/2024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10/10/2024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10/15/2024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11/15/2024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11/07/2024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11/12/2024</w:t>
            </w:r>
          </w:p>
        </w:tc>
      </w:tr>
      <w:tr w:rsidTr="00CE451E">
        <w:tblPrEx>
          <w:tblW w:w="0" w:type="auto"/>
          <w:tblLook w:val="04A0"/>
        </w:tblPrEx>
        <w:trPr>
          <w:trHeight w:val="331"/>
        </w:trPr>
        <w:tc>
          <w:tcPr>
            <w:tcW w:w="1201" w:type="dxa"/>
            <w:tcBorders>
              <w:top w:val="single" w:sz="4" w:space="0" w:color="auto"/>
              <w:bottom w:val="single" w:sz="4" w:space="0" w:color="auto"/>
              <w:right w:val="single" w:sz="4" w:space="0" w:color="auto"/>
            </w:tcBorders>
            <w:shd w:val="clear" w:color="auto" w:fill="E1F6FF"/>
          </w:tcPr>
          <w:p w:rsidR="006E4D40" w:rsidRPr="006E4D40" w:rsidP="006E4D40">
            <w:pPr>
              <w:pStyle w:val="DisclaimerHeading"/>
              <w:keepLines/>
              <w:spacing w:before="40" w:after="40" w:line="220" w:lineRule="exact"/>
              <w:jc w:val="left"/>
              <w:rPr>
                <w:b w:val="0"/>
                <w:i w:val="0"/>
                <w:color w:val="auto"/>
                <w:sz w:val="18"/>
                <w:szCs w:val="18"/>
              </w:rPr>
            </w:pPr>
            <w:r w:rsidRPr="006E4D40">
              <w:rPr>
                <w:b w:val="0"/>
                <w:i w:val="0"/>
                <w:color w:val="auto"/>
                <w:sz w:val="18"/>
                <w:szCs w:val="18"/>
              </w:rPr>
              <w:t>12/09/2024</w:t>
            </w:r>
          </w:p>
        </w:tc>
        <w:tc>
          <w:tcPr>
            <w:tcW w:w="983" w:type="dxa"/>
            <w:tcBorders>
              <w:top w:val="single" w:sz="4" w:space="0" w:color="auto"/>
              <w:left w:val="single" w:sz="4" w:space="0" w:color="auto"/>
              <w:bottom w:val="single" w:sz="4" w:space="0" w:color="auto"/>
              <w:right w:val="single" w:sz="4" w:space="0" w:color="auto"/>
            </w:tcBorders>
          </w:tcPr>
          <w:p w:rsidR="006E4D40" w:rsidRPr="00C10A93" w:rsidP="006E4D40">
            <w:pPr>
              <w:pStyle w:val="DisclaimerHeading"/>
              <w:keepLines/>
              <w:spacing w:before="40" w:after="40" w:line="220" w:lineRule="exact"/>
              <w:rPr>
                <w:b w:val="0"/>
                <w:color w:val="auto"/>
                <w:sz w:val="18"/>
                <w:szCs w:val="18"/>
              </w:rPr>
            </w:pPr>
            <w:r>
              <w:rPr>
                <w:b w:val="0"/>
                <w:color w:val="auto"/>
                <w:sz w:val="18"/>
                <w:szCs w:val="18"/>
              </w:rPr>
              <w:t>9:00 a.m. – 10:00 a.m.</w:t>
            </w:r>
          </w:p>
        </w:tc>
        <w:tc>
          <w:tcPr>
            <w:tcW w:w="3756" w:type="dxa"/>
            <w:tcBorders>
              <w:top w:val="single" w:sz="4" w:space="0" w:color="auto"/>
              <w:left w:val="single" w:sz="4" w:space="0" w:color="auto"/>
              <w:bottom w:val="single" w:sz="4" w:space="0" w:color="auto"/>
              <w:right w:val="single" w:sz="4" w:space="0" w:color="auto"/>
            </w:tcBorders>
          </w:tcPr>
          <w:p w:rsidR="006E4D40" w:rsidP="006E4D40">
            <w:pPr>
              <w:jc w:val="center"/>
            </w:pPr>
            <w:r w:rsidRPr="003A3B0D">
              <w:rPr>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11/29/2024</w:t>
            </w:r>
          </w:p>
        </w:tc>
        <w:tc>
          <w:tcPr>
            <w:tcW w:w="1529" w:type="dxa"/>
            <w:tcBorders>
              <w:top w:val="single" w:sz="4" w:space="0" w:color="auto"/>
              <w:left w:val="single" w:sz="4" w:space="0" w:color="auto"/>
              <w:bottom w:val="single" w:sz="4" w:space="0" w:color="auto"/>
              <w:right w:val="single" w:sz="4" w:space="0" w:color="auto"/>
            </w:tcBorders>
          </w:tcPr>
          <w:p w:rsidR="006E4D40" w:rsidP="006E4D40">
            <w:pPr>
              <w:pStyle w:val="DisclaimerHeading"/>
              <w:keepLines/>
              <w:spacing w:before="40" w:after="40" w:line="220" w:lineRule="exact"/>
              <w:jc w:val="center"/>
              <w:rPr>
                <w:b w:val="0"/>
                <w:color w:val="auto"/>
                <w:sz w:val="18"/>
                <w:szCs w:val="18"/>
              </w:rPr>
            </w:pPr>
            <w:r>
              <w:rPr>
                <w:b w:val="0"/>
                <w:color w:val="auto"/>
                <w:sz w:val="18"/>
                <w:szCs w:val="18"/>
              </w:rPr>
              <w:t>12/04/2024</w:t>
            </w:r>
          </w:p>
        </w:tc>
      </w:tr>
    </w:tbl>
    <w:p w:rsidR="003C3320" w:rsidP="00CE451E">
      <w:pPr>
        <w:pStyle w:val="DisclaimerBodyCopy"/>
        <w:keepLines/>
        <w:spacing w:before="60"/>
        <w:jc w:val="right"/>
      </w:pPr>
      <w:r>
        <w:rPr>
          <w:color w:val="1F497D"/>
        </w:rPr>
        <w:t>*Materials received after 12:00 p.m. EPT are not guaranteed timely posting by 5:00 p.m. EPT on the same day.</w:t>
      </w:r>
    </w:p>
    <w:p w:rsidR="00CE451E" w:rsidP="00337321">
      <w:pPr>
        <w:pStyle w:val="Author"/>
      </w:pPr>
    </w:p>
    <w:p w:rsidR="00CE451E">
      <w:pPr>
        <w:rPr>
          <w:rFonts w:ascii="Arial Narrow" w:eastAsia="Times New Roman" w:hAnsi="Arial Narrow" w:cs="Times New Roman"/>
          <w:sz w:val="16"/>
          <w:szCs w:val="16"/>
        </w:rPr>
      </w:pPr>
      <w:r>
        <w:br w:type="page"/>
      </w:r>
    </w:p>
    <w:p w:rsidR="00B62597" w:rsidP="00337321">
      <w:pPr>
        <w:pStyle w:val="Author"/>
      </w:pPr>
      <w:r>
        <w:t xml:space="preserve">Author: </w:t>
      </w:r>
      <w:r w:rsidR="009E253D">
        <w:t>Dana Hiser</w:t>
      </w:r>
    </w:p>
    <w:p w:rsidR="00A317A9" w:rsidRPr="00B62597" w:rsidP="00337321">
      <w:pPr>
        <w:pStyle w:val="Author"/>
      </w:pPr>
    </w:p>
    <w:p w:rsidR="00B62597" w:rsidRPr="00B62597" w:rsidP="00DB29E9">
      <w:pPr>
        <w:pStyle w:val="DisclaimerHeading"/>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4F3D57" w:rsidRPr="00B62597" w:rsidP="004F3D57">
      <w:pPr>
        <w:pStyle w:val="DisclaimerHeading"/>
        <w:spacing w:before="240"/>
      </w:pPr>
      <w:r w:rsidRPr="00B62597">
        <w:t>Code of Conduct:</w:t>
      </w:r>
    </w:p>
    <w:p w:rsidR="004F3D57" w:rsidRPr="00B62597" w:rsidP="004F3D57">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t xml:space="preserve"> Expectations for participating in PJM activities are further detailed in the </w:t>
      </w:r>
      <w:hyperlink r:id="rId4" w:history="1">
        <w:r w:rsidRPr="00FA5955">
          <w:rPr>
            <w:rStyle w:val="Hyperlink"/>
          </w:rPr>
          <w:t>PJM Code of Conduct</w:t>
        </w:r>
      </w:hyperlink>
      <w:r w:rsidRPr="00FA5955">
        <w:t>.</w:t>
      </w:r>
    </w:p>
    <w:p w:rsidR="00B62597" w:rsidRPr="00B62597" w:rsidP="004F3D57">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6"/>
                    <a:stretch>
                      <a:fillRect/>
                    </a:stretch>
                  </pic:blipFill>
                  <pic:spPr>
                    <a:xfrm>
                      <a:off x="0" y="0"/>
                      <a:ext cx="5943600" cy="1217930"/>
                    </a:xfrm>
                    <a:prstGeom prst="rect">
                      <a:avLst/>
                    </a:prstGeom>
                  </pic:spPr>
                </pic:pic>
              </a:graphicData>
            </a:graphic>
          </wp:inline>
        </w:drawing>
      </w:r>
    </w:p>
    <w:p w:rsidR="00027F49" w:rsidRPr="009C15C4" w:rsidP="00027F49"/>
    <w:p w:rsidR="009C15C4" w:rsidRPr="009C15C4" w:rsidP="009C15C4"/>
    <w:p w:rsidR="009C15C4" w:rsidRPr="009C15C4" w:rsidP="009C15C4"/>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9C15C4"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7" w:history="1">
                        <w:r w:rsidRPr="007703B4" w:rsid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8"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9"/>
      <w:footerReference w:type="even" r:id="rId10"/>
      <w:footerReference w:type="default" r:id="rId11"/>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Narrow-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C17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A14094">
      <w:rPr>
        <w:rStyle w:val="PageNumber"/>
        <w:noProof/>
      </w:rPr>
      <w:t>2</w:t>
    </w:r>
    <w:r>
      <w:rPr>
        <w:rStyle w:val="PageNumber"/>
      </w:rPr>
      <w:fldChar w:fldCharType="end"/>
    </w:r>
  </w:p>
  <w:bookmarkStart w:id="3" w:name="OLE_LINK1"/>
  <w:p w:rsidR="00B62597"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sidR="00C439EC">
      <w:rPr>
        <w:rFonts w:ascii="Arial Narrow" w:hAnsi="Arial Narrow"/>
        <w:sz w:val="20"/>
      </w:rPr>
      <w:t>PJM</w:t>
    </w:r>
    <w:r w:rsidR="001678E8">
      <w:rPr>
        <w:rFonts w:ascii="Arial Narrow" w:hAnsi="Arial Narrow"/>
        <w:sz w:val="20"/>
      </w:rPr>
      <w:t xml:space="preserve"> </w:t>
    </w:r>
    <w:r w:rsidRPr="00DB29E9" w:rsidR="00C439EC">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22230B">
      <w:rPr>
        <w:rFonts w:ascii="Arial Narrow" w:hAnsi="Arial Narrow"/>
        <w:sz w:val="20"/>
      </w:rPr>
      <w:t>4</w:t>
    </w:r>
    <w:r w:rsidR="00991528">
      <w:rPr>
        <w:rFonts w:ascii="Arial Narrow" w:hAnsi="Arial Narrow"/>
        <w:sz w:val="20"/>
      </w:rPr>
      <w:tab/>
    </w:r>
    <w:r w:rsidR="009E253D">
      <w:rPr>
        <w:rFonts w:ascii="Arial Narrow" w:hAnsi="Arial Narrow"/>
        <w:sz w:val="20"/>
      </w:rPr>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C17E2" w:rsidRPr="00711249" w:rsidP="00711249">
    <w:pPr>
      <w:pStyle w:val="PostingDate"/>
      <w:rPr>
        <w:sz w:val="16"/>
      </w:rPr>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10.5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712CAA" w:rsidRPr="001D3B68" w:rsidP="00712CAA">
                    <w:pPr>
                      <w:pStyle w:val="HeaderTitle"/>
                      <w:jc w:val="center"/>
                      <w:rPr>
                        <w:rFonts w:ascii="Arial Narrow" w:hAnsi="Arial Narrow"/>
                        <w:b/>
                      </w:rPr>
                    </w:pPr>
                    <w:r w:rsidRPr="001D3B68">
                      <w:rPr>
                        <w:rFonts w:ascii="Arial Narrow" w:hAnsi="Arial Narrow"/>
                        <w:b/>
                      </w:rPr>
                      <w:t>Agenda/Meeting Minutes</w:t>
                    </w:r>
                  </w:p>
                </w:txbxContent>
              </v:textbox>
            </v:shape>
          </w:pict>
        </mc:Fallback>
      </mc:AlternateContent>
    </w:r>
    <w:r w:rsidRPr="00711249" w:rsidR="00F4190F">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56D57">
      <w:t xml:space="preserve">As of </w:t>
    </w:r>
    <w:r w:rsidR="00ED02BC">
      <w:t>May 2</w:t>
    </w:r>
    <w:r w:rsidR="00A56D57">
      <w:t>, 202</w:t>
    </w:r>
    <w:r w:rsidR="00D0527B">
      <w:t>4</w:t>
    </w:r>
    <w:r w:rsidR="00A56D57">
      <w:t xml:space="preserve"> </w:t>
    </w:r>
    <w:r w:rsidR="00711249">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2A40F5F"/>
    <w:multiLevelType w:val="hybridMultilevel"/>
    <w:tmpl w:val="588C4A36"/>
    <w:lvl w:ilvl="0">
      <w:start w:val="1"/>
      <w:numFmt w:val="decimal"/>
      <w:lvlText w:val="%1."/>
      <w:lvlJc w:val="left"/>
      <w:pPr>
        <w:ind w:left="360" w:hanging="360"/>
      </w:pPr>
      <w:rPr>
        <w:sz w:val="24"/>
      </w:rPr>
    </w:lvl>
    <w:lvl w:ilvl="1">
      <w:start w:val="1"/>
      <w:numFmt w:val="upperLetter"/>
      <w:lvlText w:val="%2."/>
      <w:lvlJc w:val="left"/>
      <w:pPr>
        <w:ind w:left="1080" w:hanging="360"/>
      </w:pPr>
      <w:rPr>
        <w:rFonts w:eastAsia="Times New Roman" w:cs="ArialNarrow-Bold"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3C7D5B"/>
    <w:multiLevelType w:val="hybridMultilevel"/>
    <w:tmpl w:val="AD9E23C6"/>
    <w:lvl w:ilvl="0">
      <w:start w:val="1"/>
      <w:numFmt w:val="upperLetter"/>
      <w:lvlText w:val="%1."/>
      <w:lvlJc w:val="left"/>
      <w:pPr>
        <w:ind w:left="360" w:hanging="360"/>
      </w:pPr>
      <w:rPr>
        <w:rFonts w:eastAsia="Times New Roman" w:cs="ArialNarrow-Bold" w:hint="default"/>
      </w:rPr>
    </w:lvl>
    <w:lvl w:ilvl="1" w:tentative="1">
      <w:start w:val="1"/>
      <w:numFmt w:val="lowerLetter"/>
      <w:lvlText w:val="%2."/>
      <w:lvlJc w:val="left"/>
      <w:pPr>
        <w:ind w:left="720" w:hanging="360"/>
      </w:pPr>
    </w:lvl>
    <w:lvl w:ilvl="2" w:tentative="1">
      <w:start w:val="1"/>
      <w:numFmt w:val="lowerRoman"/>
      <w:lvlText w:val="%3."/>
      <w:lvlJc w:val="right"/>
      <w:pPr>
        <w:ind w:left="1440" w:hanging="180"/>
      </w:pPr>
    </w:lvl>
    <w:lvl w:ilvl="3" w:tentative="1">
      <w:start w:val="1"/>
      <w:numFmt w:val="decimal"/>
      <w:lvlText w:val="%4."/>
      <w:lvlJc w:val="left"/>
      <w:pPr>
        <w:ind w:left="2160" w:hanging="360"/>
      </w:pPr>
    </w:lvl>
    <w:lvl w:ilvl="4" w:tentative="1">
      <w:start w:val="1"/>
      <w:numFmt w:val="lowerLetter"/>
      <w:lvlText w:val="%5."/>
      <w:lvlJc w:val="left"/>
      <w:pPr>
        <w:ind w:left="2880" w:hanging="360"/>
      </w:pPr>
    </w:lvl>
    <w:lvl w:ilvl="5" w:tentative="1">
      <w:start w:val="1"/>
      <w:numFmt w:val="lowerRoman"/>
      <w:lvlText w:val="%6."/>
      <w:lvlJc w:val="right"/>
      <w:pPr>
        <w:ind w:left="3600" w:hanging="180"/>
      </w:pPr>
    </w:lvl>
    <w:lvl w:ilvl="6" w:tentative="1">
      <w:start w:val="1"/>
      <w:numFmt w:val="decimal"/>
      <w:lvlText w:val="%7."/>
      <w:lvlJc w:val="left"/>
      <w:pPr>
        <w:ind w:left="4320" w:hanging="360"/>
      </w:pPr>
    </w:lvl>
    <w:lvl w:ilvl="7" w:tentative="1">
      <w:start w:val="1"/>
      <w:numFmt w:val="lowerLetter"/>
      <w:lvlText w:val="%8."/>
      <w:lvlJc w:val="left"/>
      <w:pPr>
        <w:ind w:left="5040" w:hanging="360"/>
      </w:pPr>
    </w:lvl>
    <w:lvl w:ilvl="8" w:tentative="1">
      <w:start w:val="1"/>
      <w:numFmt w:val="lowerRoman"/>
      <w:lvlText w:val="%9."/>
      <w:lvlJc w:val="right"/>
      <w:pPr>
        <w:ind w:left="5760" w:hanging="180"/>
      </w:pPr>
    </w:lvl>
  </w:abstractNum>
  <w:abstractNum w:abstractNumId="3">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31E86087"/>
    <w:multiLevelType w:val="hybridMultilevel"/>
    <w:tmpl w:val="2C9CB742"/>
    <w:lvl w:ilvl="0">
      <w:start w:val="1"/>
      <w:numFmt w:val="decimal"/>
      <w:pStyle w:val="ListSubhead1"/>
      <w:lvlText w:val="%1."/>
      <w:lvlJc w:val="left"/>
      <w:pPr>
        <w:ind w:left="9720" w:hanging="360"/>
      </w:pPr>
      <w:rPr>
        <w:b w:val="0"/>
      </w:rPr>
    </w:lvl>
    <w:lvl w:ilvl="1">
      <w:start w:val="1"/>
      <w:numFmt w:val="lowerLetter"/>
      <w:lvlText w:val="%2."/>
      <w:lvlJc w:val="left"/>
      <w:pPr>
        <w:ind w:left="432" w:hanging="72"/>
      </w:pPr>
      <w:rPr>
        <w:rFonts w:hint="default"/>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6">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8">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7"/>
  </w:num>
  <w:num w:numId="2">
    <w:abstractNumId w:val="6"/>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8"/>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9"/>
  </w:num>
  <w:num w:numId="9">
    <w:abstractNumId w:val="4"/>
  </w:num>
  <w:num w:numId="10">
    <w:abstractNumId w:val="1"/>
  </w:num>
  <w:num w:numId="11">
    <w:abstractNumId w:val="5"/>
  </w:num>
  <w:num w:numId="12">
    <w:abstractNumId w:val="3"/>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53D"/>
    <w:rsid w:val="00010057"/>
    <w:rsid w:val="000201E9"/>
    <w:rsid w:val="00020574"/>
    <w:rsid w:val="000232DF"/>
    <w:rsid w:val="00027F49"/>
    <w:rsid w:val="000333FF"/>
    <w:rsid w:val="0006798D"/>
    <w:rsid w:val="00076FB5"/>
    <w:rsid w:val="00092135"/>
    <w:rsid w:val="00096230"/>
    <w:rsid w:val="000A6866"/>
    <w:rsid w:val="000F00D7"/>
    <w:rsid w:val="00102A9C"/>
    <w:rsid w:val="00117AF9"/>
    <w:rsid w:val="00121F58"/>
    <w:rsid w:val="00151997"/>
    <w:rsid w:val="001678E8"/>
    <w:rsid w:val="00170E02"/>
    <w:rsid w:val="001B12BD"/>
    <w:rsid w:val="001B2242"/>
    <w:rsid w:val="001B61C1"/>
    <w:rsid w:val="001C0CC0"/>
    <w:rsid w:val="001D2125"/>
    <w:rsid w:val="001D3B68"/>
    <w:rsid w:val="001E75F5"/>
    <w:rsid w:val="002113BD"/>
    <w:rsid w:val="0021424E"/>
    <w:rsid w:val="0022230B"/>
    <w:rsid w:val="00226D51"/>
    <w:rsid w:val="0025139E"/>
    <w:rsid w:val="002B2CB6"/>
    <w:rsid w:val="002B2F98"/>
    <w:rsid w:val="002C3294"/>
    <w:rsid w:val="002C6057"/>
    <w:rsid w:val="00305238"/>
    <w:rsid w:val="003144A5"/>
    <w:rsid w:val="003251CE"/>
    <w:rsid w:val="00337321"/>
    <w:rsid w:val="00352EBD"/>
    <w:rsid w:val="00394850"/>
    <w:rsid w:val="003A26D4"/>
    <w:rsid w:val="003A3B0D"/>
    <w:rsid w:val="003A734A"/>
    <w:rsid w:val="003B55E1"/>
    <w:rsid w:val="003C17E2"/>
    <w:rsid w:val="003C3320"/>
    <w:rsid w:val="003D05C3"/>
    <w:rsid w:val="003D7E5C"/>
    <w:rsid w:val="003E7A73"/>
    <w:rsid w:val="00423281"/>
    <w:rsid w:val="00423F39"/>
    <w:rsid w:val="0046043F"/>
    <w:rsid w:val="00491490"/>
    <w:rsid w:val="00494494"/>
    <w:rsid w:val="004969FA"/>
    <w:rsid w:val="004F3D57"/>
    <w:rsid w:val="00506843"/>
    <w:rsid w:val="00527104"/>
    <w:rsid w:val="00564DEE"/>
    <w:rsid w:val="0057441E"/>
    <w:rsid w:val="005A5D0D"/>
    <w:rsid w:val="005D6D05"/>
    <w:rsid w:val="005F64F0"/>
    <w:rsid w:val="006024A0"/>
    <w:rsid w:val="00602967"/>
    <w:rsid w:val="00606F11"/>
    <w:rsid w:val="00615F6F"/>
    <w:rsid w:val="00655D91"/>
    <w:rsid w:val="006C738F"/>
    <w:rsid w:val="006D0B7A"/>
    <w:rsid w:val="006D3FC5"/>
    <w:rsid w:val="006D496E"/>
    <w:rsid w:val="006E4D40"/>
    <w:rsid w:val="006F7A52"/>
    <w:rsid w:val="00711249"/>
    <w:rsid w:val="00712CAA"/>
    <w:rsid w:val="00716A8B"/>
    <w:rsid w:val="00717D43"/>
    <w:rsid w:val="00730F76"/>
    <w:rsid w:val="007375BE"/>
    <w:rsid w:val="00744A45"/>
    <w:rsid w:val="0075340F"/>
    <w:rsid w:val="00754C6D"/>
    <w:rsid w:val="00755096"/>
    <w:rsid w:val="007703B4"/>
    <w:rsid w:val="00777623"/>
    <w:rsid w:val="007A34A3"/>
    <w:rsid w:val="007A50F5"/>
    <w:rsid w:val="007C2954"/>
    <w:rsid w:val="007D4F70"/>
    <w:rsid w:val="007E1147"/>
    <w:rsid w:val="007E7CAB"/>
    <w:rsid w:val="00835E45"/>
    <w:rsid w:val="00837B12"/>
    <w:rsid w:val="00841282"/>
    <w:rsid w:val="008552A3"/>
    <w:rsid w:val="00882652"/>
    <w:rsid w:val="00883F0E"/>
    <w:rsid w:val="008D5163"/>
    <w:rsid w:val="00917386"/>
    <w:rsid w:val="009468A0"/>
    <w:rsid w:val="0095194C"/>
    <w:rsid w:val="0097702E"/>
    <w:rsid w:val="00991528"/>
    <w:rsid w:val="009A5430"/>
    <w:rsid w:val="009C15C4"/>
    <w:rsid w:val="009C7250"/>
    <w:rsid w:val="009E253D"/>
    <w:rsid w:val="009F53F9"/>
    <w:rsid w:val="00A05391"/>
    <w:rsid w:val="00A14094"/>
    <w:rsid w:val="00A27892"/>
    <w:rsid w:val="00A317A9"/>
    <w:rsid w:val="00A33184"/>
    <w:rsid w:val="00A41149"/>
    <w:rsid w:val="00A56D57"/>
    <w:rsid w:val="00A73054"/>
    <w:rsid w:val="00A931C3"/>
    <w:rsid w:val="00AC2247"/>
    <w:rsid w:val="00B16D95"/>
    <w:rsid w:val="00B20316"/>
    <w:rsid w:val="00B279BC"/>
    <w:rsid w:val="00B34E3C"/>
    <w:rsid w:val="00B42FAE"/>
    <w:rsid w:val="00B62597"/>
    <w:rsid w:val="00B629C4"/>
    <w:rsid w:val="00B97531"/>
    <w:rsid w:val="00BA6146"/>
    <w:rsid w:val="00BB531B"/>
    <w:rsid w:val="00BB6921"/>
    <w:rsid w:val="00BE36CC"/>
    <w:rsid w:val="00BE4B35"/>
    <w:rsid w:val="00BF331B"/>
    <w:rsid w:val="00C10A93"/>
    <w:rsid w:val="00C11CE5"/>
    <w:rsid w:val="00C143F3"/>
    <w:rsid w:val="00C26AD0"/>
    <w:rsid w:val="00C439EC"/>
    <w:rsid w:val="00C470C0"/>
    <w:rsid w:val="00C5307B"/>
    <w:rsid w:val="00C654EE"/>
    <w:rsid w:val="00C65F2C"/>
    <w:rsid w:val="00C72168"/>
    <w:rsid w:val="00C757F4"/>
    <w:rsid w:val="00C75A9D"/>
    <w:rsid w:val="00C869C3"/>
    <w:rsid w:val="00CA49B9"/>
    <w:rsid w:val="00CA63FB"/>
    <w:rsid w:val="00CB19DE"/>
    <w:rsid w:val="00CB475B"/>
    <w:rsid w:val="00CC1B47"/>
    <w:rsid w:val="00CD797A"/>
    <w:rsid w:val="00CE451E"/>
    <w:rsid w:val="00CF4F4D"/>
    <w:rsid w:val="00CF5F5A"/>
    <w:rsid w:val="00D0527B"/>
    <w:rsid w:val="00D05433"/>
    <w:rsid w:val="00D06EC8"/>
    <w:rsid w:val="00D136EA"/>
    <w:rsid w:val="00D251ED"/>
    <w:rsid w:val="00D5347F"/>
    <w:rsid w:val="00D831E4"/>
    <w:rsid w:val="00D9011F"/>
    <w:rsid w:val="00D95949"/>
    <w:rsid w:val="00DA23DE"/>
    <w:rsid w:val="00DB29E9"/>
    <w:rsid w:val="00DE34CF"/>
    <w:rsid w:val="00DE77B9"/>
    <w:rsid w:val="00DF1112"/>
    <w:rsid w:val="00E1605D"/>
    <w:rsid w:val="00E17901"/>
    <w:rsid w:val="00E32B6B"/>
    <w:rsid w:val="00E5387A"/>
    <w:rsid w:val="00E55E84"/>
    <w:rsid w:val="00EB68B0"/>
    <w:rsid w:val="00ED02BC"/>
    <w:rsid w:val="00EF5DC3"/>
    <w:rsid w:val="00EF7FB9"/>
    <w:rsid w:val="00F05452"/>
    <w:rsid w:val="00F4190F"/>
    <w:rsid w:val="00F5077C"/>
    <w:rsid w:val="00F56BFE"/>
    <w:rsid w:val="00F84950"/>
    <w:rsid w:val="00F927D8"/>
    <w:rsid w:val="00FA14EF"/>
    <w:rsid w:val="00FA5955"/>
    <w:rsid w:val="00FB1739"/>
    <w:rsid w:val="00FB378C"/>
    <w:rsid w:val="00FC2B9A"/>
    <w:rsid w:val="00FE0F2B"/>
    <w:rsid w:val="00FF32F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38037E47"/>
  <w15:docId w15:val="{80B080ED-26EF-41F3-9053-54829E6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character" w:customStyle="1" w:styleId="ui-provider">
    <w:name w:val="ui-provider"/>
    <w:basedOn w:val="DefaultParagraphFont"/>
    <w:rsid w:val="00423F39"/>
  </w:style>
  <w:style w:type="paragraph" w:styleId="ListParagraph">
    <w:name w:val="List Paragraph"/>
    <w:basedOn w:val="Normal"/>
    <w:uiPriority w:val="34"/>
    <w:qFormat/>
    <w:rsid w:val="00226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pjm.com/about-pjm/who-we-are/code-of-conduct" TargetMode="Externa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s://www.pjm.com/committees-and-groups/committees/form-facilitator-feedback.aspx" TargetMode="External" /><Relationship Id="rId8" Type="http://schemas.openxmlformats.org/officeDocument/2006/relationships/hyperlink" Target="https://learn.pjm.com/" TargetMode="External" /><Relationship Id="rId9" Type="http://schemas.openxmlformats.org/officeDocument/2006/relationships/header" Target="header1.xml" /></Relationships>
</file>

<file path=word/_rels/header1.xml.rels><?xml version="1.0" encoding="utf-8" standalone="yes"?><Relationships xmlns="http://schemas.openxmlformats.org/package/2006/relationships"><Relationship Id="rId1" Type="http://schemas.openxmlformats.org/officeDocument/2006/relationships/image" Target="media/image3.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hiserd\Downloads\Agenda%20(Non%20Operator%20Assisted%20Call)%20(3).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