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1E3BC0">
        <w:t>June 26, 2025</w:t>
      </w:r>
    </w:p>
    <w:p w:rsidR="000072DA" w:rsidRPr="00B62597" w:rsidP="000072DA">
      <w:pPr>
        <w:pStyle w:val="MeetingDetails"/>
      </w:pPr>
      <w:r>
        <w:t>Joint System Operations Subcommittee – Generation and Transmission</w:t>
      </w:r>
    </w:p>
    <w:p w:rsidR="000072DA" w:rsidRPr="00B62597" w:rsidP="000072DA">
      <w:pPr>
        <w:pStyle w:val="MeetingDetails"/>
      </w:pPr>
      <w:r>
        <w:t>WebEx Only</w:t>
      </w:r>
    </w:p>
    <w:p w:rsidR="000072DA" w:rsidRPr="00B62597" w:rsidP="000072DA">
      <w:pPr>
        <w:pStyle w:val="MeetingDetails"/>
        <w:tabs>
          <w:tab w:val="left" w:pos="6944"/>
        </w:tabs>
      </w:pPr>
      <w:r>
        <w:t>July 1, 2025</w:t>
      </w:r>
      <w:r>
        <w:tab/>
      </w:r>
      <w:bookmarkStart w:id="0" w:name="_GoBack"/>
      <w:bookmarkEnd w:id="0"/>
    </w:p>
    <w:p w:rsidR="000072DA" w:rsidRPr="00B62597" w:rsidP="000072DA">
      <w:pPr>
        <w:pStyle w:val="MeetingDetails"/>
        <w:rPr>
          <w:sz w:val="28"/>
          <w:u w:val="single"/>
        </w:rPr>
      </w:pPr>
      <w:r>
        <w:t>09:00 a.m. – 11:00 a.m. EPT</w:t>
      </w:r>
    </w:p>
    <w:p w:rsidR="000072DA" w:rsidRPr="00B62597" w:rsidP="000072DA">
      <w:pPr>
        <w:spacing w:after="0" w:line="240" w:lineRule="auto"/>
        <w:rPr>
          <w:rFonts w:ascii="Arial Narrow" w:eastAsia="Times New Roman" w:hAnsi="Arial Narrow" w:cs="Times New Roman"/>
          <w:sz w:val="24"/>
          <w:szCs w:val="20"/>
        </w:rPr>
      </w:pPr>
    </w:p>
    <w:p w:rsidR="000072DA" w:rsidRPr="00B62597" w:rsidP="000072DA">
      <w:pPr>
        <w:pStyle w:val="PrimaryHeading"/>
        <w:rPr>
          <w:caps/>
        </w:rPr>
      </w:pPr>
      <w:bookmarkStart w:id="1" w:name="OLE_LINK5"/>
      <w:bookmarkStart w:id="2" w:name="OLE_LINK3"/>
      <w:r w:rsidRPr="00527104">
        <w:t>Adm</w:t>
      </w:r>
      <w:r w:rsidRPr="007C2954">
        <w:t>inistrati</w:t>
      </w:r>
      <w:r>
        <w:t>on (9:00-9:10</w:t>
      </w:r>
      <w:r w:rsidRPr="00527104">
        <w:t>)</w:t>
      </w:r>
    </w:p>
    <w:bookmarkEnd w:id="1"/>
    <w:bookmarkEnd w:id="2"/>
    <w:p w:rsidR="000072DA" w:rsidRPr="002C6057" w:rsidP="000072DA">
      <w:pPr>
        <w:pStyle w:val="SecondaryHeading-Numbered"/>
        <w:rPr>
          <w:b w:val="0"/>
        </w:rPr>
      </w:pPr>
      <w:r>
        <w:rPr>
          <w:b w:val="0"/>
        </w:rPr>
        <w:t>Approve Agenda for this Meeting.</w:t>
      </w:r>
    </w:p>
    <w:p w:rsidR="000072DA" w:rsidP="000072DA">
      <w:pPr>
        <w:pStyle w:val="SecondaryHeading-Numbered"/>
        <w:rPr>
          <w:b w:val="0"/>
        </w:rPr>
      </w:pPr>
      <w:r>
        <w:rPr>
          <w:b w:val="0"/>
        </w:rPr>
        <w:t>Approve Draft Minutes from the May 29, 2025 SOS Joint Meeting.</w:t>
      </w:r>
    </w:p>
    <w:p w:rsidR="000072DA" w:rsidP="000072DA">
      <w:pPr>
        <w:pStyle w:val="SecondaryHeading-Numbered"/>
        <w:rPr>
          <w:b w:val="0"/>
        </w:rPr>
      </w:pPr>
      <w:r>
        <w:rPr>
          <w:b w:val="0"/>
        </w:rPr>
        <w:t xml:space="preserve">Matthew Wharton will perform a second read for the SOS Charter annual review. </w:t>
      </w:r>
    </w:p>
    <w:p w:rsidR="000072DA" w:rsidRPr="00DB29E9" w:rsidP="000072DA">
      <w:pPr>
        <w:pStyle w:val="PrimaryHeading"/>
      </w:pPr>
      <w:r>
        <w:t>Security Update (9:10-9:15)</w:t>
      </w:r>
    </w:p>
    <w:p w:rsidR="000072DA" w:rsidP="000072DA">
      <w:pPr>
        <w:pStyle w:val="SecondaryHeading-Numbered"/>
        <w:rPr>
          <w:b w:val="0"/>
        </w:rPr>
      </w:pPr>
      <w:r>
        <w:rPr>
          <w:b w:val="0"/>
        </w:rPr>
        <w:t xml:space="preserve">Joe Callis </w:t>
      </w:r>
      <w:r w:rsidRPr="00B13747">
        <w:rPr>
          <w:b w:val="0"/>
        </w:rPr>
        <w:t>will provide a security briefing.</w:t>
      </w:r>
    </w:p>
    <w:p w:rsidR="000072DA" w:rsidRPr="00DB29E9" w:rsidP="000072DA">
      <w:pPr>
        <w:pStyle w:val="PrimaryHeading"/>
      </w:pPr>
      <w:r>
        <w:t>Review of Operations (9:15-9:20)</w:t>
      </w:r>
    </w:p>
    <w:p w:rsidR="000072DA" w:rsidRPr="00DA0292" w:rsidP="000072DA">
      <w:pPr>
        <w:pStyle w:val="SecondaryHeading-Numbered"/>
        <w:rPr>
          <w:b w:val="0"/>
        </w:rPr>
      </w:pPr>
      <w:r w:rsidRPr="00815C58">
        <w:rPr>
          <w:b w:val="0"/>
        </w:rPr>
        <w:t>Kevin Hatch will</w:t>
      </w:r>
      <w:r w:rsidRPr="00D86187">
        <w:rPr>
          <w:b w:val="0"/>
        </w:rPr>
        <w:t xml:space="preserve"> provide an update of System Operations in </w:t>
      </w:r>
      <w:r>
        <w:rPr>
          <w:b w:val="0"/>
        </w:rPr>
        <w:t>June</w:t>
      </w:r>
      <w:r w:rsidRPr="00DA0292">
        <w:rPr>
          <w:b w:val="0"/>
        </w:rPr>
        <w:t xml:space="preserve"> and discuss Member Operational Issues.</w:t>
      </w:r>
    </w:p>
    <w:p w:rsidR="000072DA" w:rsidRPr="00DB29E9" w:rsidP="000072DA">
      <w:pPr>
        <w:pStyle w:val="PrimaryHeading"/>
      </w:pPr>
      <w:r>
        <w:t>Tools (9:20-9:25)</w:t>
      </w:r>
    </w:p>
    <w:p w:rsidR="000072DA" w:rsidRPr="00D86187" w:rsidP="000072DA">
      <w:pPr>
        <w:pStyle w:val="SecondaryHeading-Numbered"/>
        <w:rPr>
          <w:b w:val="0"/>
        </w:rPr>
      </w:pPr>
      <w:r w:rsidRPr="00D86187">
        <w:rPr>
          <w:b w:val="0"/>
        </w:rPr>
        <w:t>Craig Lowe will provide an update on the latest and upcoming eDART release.</w:t>
      </w:r>
    </w:p>
    <w:p w:rsidR="000072DA" w:rsidRPr="00DB29E9" w:rsidP="000072DA">
      <w:pPr>
        <w:pStyle w:val="PrimaryHeading"/>
      </w:pPr>
      <w:r>
        <w:t>Dispatcher Training Subcommittee Items (9:25-9:30)</w:t>
      </w:r>
    </w:p>
    <w:p w:rsidR="000072DA" w:rsidRPr="001D0377" w:rsidP="000072DA">
      <w:pPr>
        <w:pStyle w:val="SecondaryHeading-Numbered"/>
        <w:rPr>
          <w:b w:val="0"/>
        </w:rPr>
      </w:pPr>
      <w:r>
        <w:rPr>
          <w:b w:val="0"/>
        </w:rPr>
        <w:t xml:space="preserve">Michael Hoke </w:t>
      </w:r>
      <w:r w:rsidRPr="00D86187">
        <w:rPr>
          <w:b w:val="0"/>
        </w:rPr>
        <w:t>will provide an update on items discussed during the last DTS meeting.</w:t>
      </w:r>
    </w:p>
    <w:p w:rsidR="000072DA" w:rsidRPr="00DB29E9" w:rsidP="000072DA">
      <w:pPr>
        <w:pStyle w:val="PrimaryHeading"/>
      </w:pPr>
      <w:r>
        <w:t>Regional Standards, NAESB, and Compliance Update (9:30-9:35)</w:t>
      </w:r>
    </w:p>
    <w:p w:rsidR="000072DA" w:rsidP="000072DA">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0072DA" w:rsidRPr="00DB29E9" w:rsidP="000072DA">
      <w:pPr>
        <w:pStyle w:val="PrimaryHeading"/>
      </w:pPr>
      <w:r>
        <w:t>Manual Updates (9:35-10:00)</w:t>
      </w:r>
    </w:p>
    <w:p w:rsidR="000072DA" w:rsidRPr="00383AF5" w:rsidP="000072DA">
      <w:pPr>
        <w:pStyle w:val="ListSubhead1"/>
        <w:rPr>
          <w:b w:val="0"/>
        </w:rPr>
      </w:pPr>
      <w:r>
        <w:rPr>
          <w:b w:val="0"/>
        </w:rPr>
        <w:t xml:space="preserve">Ilyana Dropkin and Damon Fereshetian will perform a first review of changes associated with the </w:t>
      </w:r>
      <w:r w:rsidRPr="00B26E95">
        <w:rPr>
          <w:b w:val="0"/>
        </w:rPr>
        <w:t xml:space="preserve">Regulation Market Design </w:t>
      </w:r>
      <w:r>
        <w:rPr>
          <w:b w:val="0"/>
        </w:rPr>
        <w:t>–</w:t>
      </w:r>
      <w:r w:rsidRPr="00B26E95">
        <w:rPr>
          <w:b w:val="0"/>
        </w:rPr>
        <w:t xml:space="preserve"> P</w:t>
      </w:r>
      <w:r>
        <w:rPr>
          <w:b w:val="0"/>
        </w:rPr>
        <w:t xml:space="preserve">hase </w:t>
      </w:r>
      <w:r w:rsidRPr="00B26E95">
        <w:rPr>
          <w:b w:val="0"/>
        </w:rPr>
        <w:t>1</w:t>
      </w:r>
      <w:r>
        <w:rPr>
          <w:b w:val="0"/>
        </w:rPr>
        <w:t xml:space="preserve">: Manual 12, Rev 56 and review the Regulation Market Design changes. </w:t>
      </w:r>
    </w:p>
    <w:p w:rsidR="000072DA" w:rsidRPr="00383AF5" w:rsidP="000072DA">
      <w:pPr>
        <w:pStyle w:val="ListSubhead1"/>
        <w:rPr>
          <w:b w:val="0"/>
        </w:rPr>
      </w:pPr>
      <w:r>
        <w:rPr>
          <w:b w:val="0"/>
        </w:rPr>
        <w:t>Logan Fetterhoff will perform a first</w:t>
      </w:r>
      <w:r w:rsidRPr="00383AF5">
        <w:rPr>
          <w:b w:val="0"/>
        </w:rPr>
        <w:t xml:space="preserve"> review of c</w:t>
      </w:r>
      <w:r>
        <w:rPr>
          <w:b w:val="0"/>
        </w:rPr>
        <w:t>hanges associated with Manual 13, Rev 96</w:t>
      </w:r>
      <w:r w:rsidRPr="00383AF5">
        <w:rPr>
          <w:b w:val="0"/>
        </w:rPr>
        <w:t xml:space="preserve">. </w:t>
      </w:r>
    </w:p>
    <w:p w:rsidR="000072DA" w:rsidP="000072DA">
      <w:pPr>
        <w:pStyle w:val="ListSubhead1"/>
        <w:rPr>
          <w:b w:val="0"/>
        </w:rPr>
      </w:pPr>
      <w:r>
        <w:rPr>
          <w:b w:val="0"/>
        </w:rPr>
        <w:t xml:space="preserve">Michael Herman </w:t>
      </w:r>
      <w:r w:rsidRPr="00383AF5">
        <w:rPr>
          <w:b w:val="0"/>
        </w:rPr>
        <w:t xml:space="preserve">will perform a </w:t>
      </w:r>
      <w:r>
        <w:rPr>
          <w:b w:val="0"/>
        </w:rPr>
        <w:t>first</w:t>
      </w:r>
      <w:r w:rsidRPr="00383AF5">
        <w:rPr>
          <w:b w:val="0"/>
        </w:rPr>
        <w:t xml:space="preserve"> review of changes associated </w:t>
      </w:r>
      <w:r>
        <w:rPr>
          <w:b w:val="0"/>
        </w:rPr>
        <w:t xml:space="preserve">with the </w:t>
      </w:r>
      <w:r w:rsidRPr="00457693">
        <w:rPr>
          <w:b w:val="0"/>
        </w:rPr>
        <w:t>deactivation</w:t>
      </w:r>
      <w:r>
        <w:rPr>
          <w:b w:val="0"/>
        </w:rPr>
        <w:t xml:space="preserve"> process approved by the DESTF P</w:t>
      </w:r>
      <w:r w:rsidRPr="00457693">
        <w:rPr>
          <w:b w:val="0"/>
        </w:rPr>
        <w:t>hase 1</w:t>
      </w:r>
      <w:r w:rsidRPr="00383AF5">
        <w:rPr>
          <w:b w:val="0"/>
        </w:rPr>
        <w:t>: Manual 1</w:t>
      </w:r>
      <w:r>
        <w:rPr>
          <w:b w:val="0"/>
        </w:rPr>
        <w:t>4D, Rev 68</w:t>
      </w:r>
      <w:r w:rsidRPr="00383AF5">
        <w:rPr>
          <w:b w:val="0"/>
        </w:rPr>
        <w:t>.</w:t>
      </w:r>
    </w:p>
    <w:p w:rsidR="000072DA" w:rsidP="000072DA">
      <w:pPr>
        <w:pStyle w:val="ListSubhead1"/>
        <w:numPr>
          <w:ilvl w:val="0"/>
          <w:numId w:val="0"/>
        </w:numPr>
        <w:ind w:left="360" w:hanging="360"/>
        <w:rPr>
          <w:b w:val="0"/>
        </w:rPr>
      </w:pPr>
    </w:p>
    <w:p w:rsidR="000072DA" w:rsidP="000072DA">
      <w:pPr>
        <w:pStyle w:val="ListSubhead1"/>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080"/>
        <w:gridCol w:w="3150"/>
        <w:gridCol w:w="1710"/>
        <w:gridCol w:w="1635"/>
      </w:tblGrid>
      <w:tr w:rsidTr="001E3B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E3BC0">
        <w:tblPrEx>
          <w:tblW w:w="0" w:type="auto"/>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0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072DA">
        <w:tblPrEx>
          <w:tblW w:w="0" w:type="auto"/>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0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E3BC0">
        <w:tblPrEx>
          <w:tblW w:w="0" w:type="auto"/>
          <w:tblLook w:val="04A0"/>
        </w:tblPrEx>
        <w:trPr>
          <w:trHeight w:val="331"/>
        </w:trPr>
        <w:tc>
          <w:tcPr>
            <w:tcW w:w="1710" w:type="dxa"/>
            <w:tcBorders>
              <w:top w:val="none" w:sz="0" w:space="0" w:color="auto"/>
              <w:bottom w:val="single" w:sz="4" w:space="0" w:color="auto"/>
              <w:right w:val="single" w:sz="4" w:space="0" w:color="auto"/>
            </w:tcBorders>
            <w:shd w:val="clear" w:color="auto" w:fill="E1F6FF"/>
          </w:tcPr>
          <w:p w:rsidR="000072DA" w:rsidRPr="00C95F77" w:rsidP="000072DA">
            <w:pPr>
              <w:pStyle w:val="DisclaimerHeading"/>
              <w:keepLines/>
              <w:spacing w:before="40" w:after="40" w:line="220" w:lineRule="exact"/>
              <w:jc w:val="left"/>
              <w:rPr>
                <w:b w:val="0"/>
                <w:i w:val="0"/>
                <w:color w:val="auto"/>
                <w:sz w:val="18"/>
                <w:szCs w:val="18"/>
              </w:rPr>
            </w:pPr>
            <w:r w:rsidRPr="00C95F77">
              <w:rPr>
                <w:b w:val="0"/>
                <w:i w:val="0"/>
                <w:color w:val="auto"/>
                <w:sz w:val="18"/>
                <w:szCs w:val="18"/>
              </w:rPr>
              <w:t>July 1, 2025</w:t>
            </w:r>
          </w:p>
        </w:tc>
        <w:tc>
          <w:tcPr>
            <w:tcW w:w="1080" w:type="dxa"/>
            <w:tcBorders>
              <w:left w:val="single" w:sz="4" w:space="0" w:color="auto"/>
              <w:bottom w:val="single" w:sz="4" w:space="0" w:color="auto"/>
              <w:right w:val="single" w:sz="4" w:space="0" w:color="auto"/>
            </w:tcBorders>
          </w:tcPr>
          <w:p w:rsidR="000072DA" w:rsidRPr="00C10A93" w:rsidP="000072DA">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left w:val="single" w:sz="4" w:space="0" w:color="auto"/>
              <w:bottom w:val="single" w:sz="4" w:space="0" w:color="auto"/>
              <w:right w:val="single" w:sz="4" w:space="0" w:color="auto"/>
            </w:tcBorders>
          </w:tcPr>
          <w:p w:rsidR="000072DA" w:rsidRPr="00C10A93" w:rsidP="000072DA">
            <w:pPr>
              <w:pStyle w:val="AttendeesList"/>
              <w:keepLines/>
              <w:spacing w:before="40" w:after="40" w:line="220" w:lineRule="exact"/>
              <w:rPr>
                <w:szCs w:val="18"/>
              </w:rPr>
            </w:pPr>
            <w:r>
              <w:rPr>
                <w:szCs w:val="18"/>
              </w:rPr>
              <w:t>WebEx</w:t>
            </w:r>
          </w:p>
        </w:tc>
        <w:tc>
          <w:tcPr>
            <w:tcW w:w="1710" w:type="dxa"/>
            <w:tcBorders>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June 23, 2025</w:t>
            </w:r>
          </w:p>
        </w:tc>
        <w:tc>
          <w:tcPr>
            <w:tcW w:w="1635" w:type="dxa"/>
            <w:tcBorders>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June 26, 2025</w:t>
            </w:r>
          </w:p>
        </w:tc>
      </w:tr>
      <w:tr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3629C3" w:rsidP="000072DA">
            <w:pPr>
              <w:pStyle w:val="DisclaimerHeading"/>
              <w:keepLines/>
              <w:spacing w:before="40" w:after="40" w:line="220" w:lineRule="exact"/>
              <w:jc w:val="left"/>
              <w:rPr>
                <w:b w:val="0"/>
                <w:i w:val="0"/>
                <w:color w:val="auto"/>
                <w:sz w:val="18"/>
                <w:szCs w:val="18"/>
              </w:rPr>
            </w:pPr>
            <w:r w:rsidRPr="003629C3">
              <w:rPr>
                <w:b w:val="0"/>
                <w:i w:val="0"/>
                <w:color w:val="auto"/>
                <w:sz w:val="18"/>
                <w:szCs w:val="18"/>
              </w:rPr>
              <w:t>August 1, 2025</w:t>
            </w:r>
          </w:p>
        </w:tc>
        <w:tc>
          <w:tcPr>
            <w:tcW w:w="1080" w:type="dxa"/>
            <w:tcBorders>
              <w:top w:val="single" w:sz="4" w:space="0" w:color="auto"/>
              <w:left w:val="single" w:sz="4" w:space="0" w:color="auto"/>
              <w:bottom w:val="single" w:sz="4" w:space="0" w:color="auto"/>
              <w:right w:val="single" w:sz="4" w:space="0" w:color="auto"/>
            </w:tcBorders>
          </w:tcPr>
          <w:p w:rsidR="000072DA" w:rsidRPr="00C10A93" w:rsidP="000072DA">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C10A93" w:rsidP="000072DA">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1080" w:type="dxa"/>
            <w:tcBorders>
              <w:top w:val="single" w:sz="4" w:space="0" w:color="auto"/>
              <w:left w:val="single" w:sz="4" w:space="0" w:color="auto"/>
              <w:bottom w:val="single" w:sz="4" w:space="0" w:color="auto"/>
              <w:right w:val="single" w:sz="4" w:space="0" w:color="auto"/>
            </w:tcBorders>
          </w:tcPr>
          <w:p w:rsidR="000072DA" w:rsidRPr="00C10A93" w:rsidP="000072DA">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C10A93" w:rsidP="000072DA">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1080" w:type="dxa"/>
            <w:tcBorders>
              <w:top w:val="single" w:sz="4" w:space="0" w:color="auto"/>
              <w:left w:val="single" w:sz="4" w:space="0" w:color="auto"/>
              <w:bottom w:val="single" w:sz="4" w:space="0" w:color="auto"/>
              <w:right w:val="single" w:sz="4" w:space="0" w:color="auto"/>
            </w:tcBorders>
          </w:tcPr>
          <w:p w:rsidR="000072DA" w:rsidRPr="006B07DC" w:rsidP="000072DA">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6B07DC" w:rsidP="000072DA">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1080" w:type="dxa"/>
            <w:tcBorders>
              <w:top w:val="single" w:sz="4" w:space="0" w:color="auto"/>
              <w:left w:val="single" w:sz="4" w:space="0" w:color="auto"/>
              <w:bottom w:val="single" w:sz="4" w:space="0" w:color="auto"/>
              <w:right w:val="single" w:sz="4" w:space="0" w:color="auto"/>
            </w:tcBorders>
          </w:tcPr>
          <w:p w:rsidR="000072DA" w:rsidRPr="006B07DC" w:rsidP="000072DA">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6B07DC" w:rsidP="000072DA">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rsidTr="001E3BC0">
        <w:tblPrEx>
          <w:tblW w:w="0" w:type="auto"/>
          <w:tblLook w:val="04A0"/>
        </w:tblPrEx>
        <w:trPr>
          <w:trHeight w:val="331"/>
        </w:trPr>
        <w:tc>
          <w:tcPr>
            <w:tcW w:w="1710" w:type="dxa"/>
            <w:tcBorders>
              <w:top w:val="single" w:sz="4" w:space="0" w:color="auto"/>
              <w:right w:val="single" w:sz="4" w:space="0" w:color="auto"/>
            </w:tcBorders>
            <w:shd w:val="clear" w:color="auto" w:fill="E1F6FF"/>
          </w:tcPr>
          <w:p w:rsidR="000072DA" w:rsidRPr="006A32C6" w:rsidP="000072DA">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1080" w:type="dxa"/>
            <w:tcBorders>
              <w:top w:val="single" w:sz="4" w:space="0" w:color="auto"/>
              <w:left w:val="single" w:sz="4" w:space="0" w:color="auto"/>
              <w:right w:val="single" w:sz="4" w:space="0" w:color="auto"/>
            </w:tcBorders>
          </w:tcPr>
          <w:p w:rsidR="000072DA" w:rsidRPr="00C10A93" w:rsidP="000072DA">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right w:val="single" w:sz="4" w:space="0" w:color="auto"/>
            </w:tcBorders>
          </w:tcPr>
          <w:p w:rsidR="000072DA" w:rsidRPr="00C10A93" w:rsidP="000072DA">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072DA" w:rsidRPr="00F42DD3" w:rsidP="000072DA">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0072DA">
      <w:pPr>
        <w:rPr>
          <w:rFonts w:ascii="Arial Narrow" w:eastAsia="Times New Roman" w:hAnsi="Arial Narrow" w:cs="Times New Roman"/>
          <w:sz w:val="16"/>
          <w:szCs w:val="16"/>
        </w:rPr>
      </w:pPr>
      <w:r>
        <w:br w:type="page"/>
      </w:r>
    </w:p>
    <w:p w:rsidR="00B62597" w:rsidP="00FF5170">
      <w:pPr>
        <w:pStyle w:val="Author"/>
        <w:keepNext/>
        <w:keepLines/>
      </w:pPr>
      <w:r>
        <w:t xml:space="preserve">Author: </w:t>
      </w:r>
      <w:r w:rsidR="008241BD">
        <w:t>Matthew Wharton</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 xml:space="preserve">It is PJM’s policy to comply with applicable antitrust laws.  Participants must not disclose or exchange non-public, competitively sensitive information about their individual business strategies. Prohibited topics include, but are not limited </w:t>
      </w:r>
      <w:r>
        <w:t>to</w:t>
      </w:r>
      <w:r>
        <w:t>:</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E3BC0">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072D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BD"/>
    <w:rsid w:val="000072DA"/>
    <w:rsid w:val="00010057"/>
    <w:rsid w:val="000232DF"/>
    <w:rsid w:val="00027F49"/>
    <w:rsid w:val="000333FF"/>
    <w:rsid w:val="000538D7"/>
    <w:rsid w:val="0006798D"/>
    <w:rsid w:val="00092135"/>
    <w:rsid w:val="00092B99"/>
    <w:rsid w:val="00095E8F"/>
    <w:rsid w:val="00096230"/>
    <w:rsid w:val="00117AF9"/>
    <w:rsid w:val="00121F58"/>
    <w:rsid w:val="001678E8"/>
    <w:rsid w:val="00170E02"/>
    <w:rsid w:val="001B2242"/>
    <w:rsid w:val="001C0CC0"/>
    <w:rsid w:val="001D0377"/>
    <w:rsid w:val="001D3B68"/>
    <w:rsid w:val="001E3BC0"/>
    <w:rsid w:val="00200A1B"/>
    <w:rsid w:val="002113BD"/>
    <w:rsid w:val="00246ED8"/>
    <w:rsid w:val="0025139E"/>
    <w:rsid w:val="002B2CB6"/>
    <w:rsid w:val="002B2F98"/>
    <w:rsid w:val="002C6057"/>
    <w:rsid w:val="002F6131"/>
    <w:rsid w:val="00305238"/>
    <w:rsid w:val="003251CE"/>
    <w:rsid w:val="00337321"/>
    <w:rsid w:val="003629C3"/>
    <w:rsid w:val="00383AF5"/>
    <w:rsid w:val="00394850"/>
    <w:rsid w:val="003B55E1"/>
    <w:rsid w:val="003C17E2"/>
    <w:rsid w:val="003C3320"/>
    <w:rsid w:val="003D7E5C"/>
    <w:rsid w:val="003E7A73"/>
    <w:rsid w:val="003F046E"/>
    <w:rsid w:val="00457693"/>
    <w:rsid w:val="0046043F"/>
    <w:rsid w:val="00491490"/>
    <w:rsid w:val="00494494"/>
    <w:rsid w:val="004969FA"/>
    <w:rsid w:val="004F3D57"/>
    <w:rsid w:val="00527104"/>
    <w:rsid w:val="00564DEE"/>
    <w:rsid w:val="0057441E"/>
    <w:rsid w:val="005A5D0D"/>
    <w:rsid w:val="005D6D05"/>
    <w:rsid w:val="006024A0"/>
    <w:rsid w:val="00602967"/>
    <w:rsid w:val="00606F11"/>
    <w:rsid w:val="006A32C6"/>
    <w:rsid w:val="006B07D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15C58"/>
    <w:rsid w:val="008241BD"/>
    <w:rsid w:val="00837B12"/>
    <w:rsid w:val="00841282"/>
    <w:rsid w:val="008552A3"/>
    <w:rsid w:val="00882652"/>
    <w:rsid w:val="00911156"/>
    <w:rsid w:val="00914902"/>
    <w:rsid w:val="00917386"/>
    <w:rsid w:val="009360CC"/>
    <w:rsid w:val="0097702E"/>
    <w:rsid w:val="00991528"/>
    <w:rsid w:val="009A5430"/>
    <w:rsid w:val="009B2B7E"/>
    <w:rsid w:val="009C15C4"/>
    <w:rsid w:val="009C7250"/>
    <w:rsid w:val="009F53F9"/>
    <w:rsid w:val="00A05391"/>
    <w:rsid w:val="00A317A9"/>
    <w:rsid w:val="00A36FEA"/>
    <w:rsid w:val="00A41149"/>
    <w:rsid w:val="00A56D57"/>
    <w:rsid w:val="00A75ADE"/>
    <w:rsid w:val="00A86205"/>
    <w:rsid w:val="00A931C3"/>
    <w:rsid w:val="00AC2247"/>
    <w:rsid w:val="00B13747"/>
    <w:rsid w:val="00B16D95"/>
    <w:rsid w:val="00B20316"/>
    <w:rsid w:val="00B26E95"/>
    <w:rsid w:val="00B34E3C"/>
    <w:rsid w:val="00B42FAE"/>
    <w:rsid w:val="00B62597"/>
    <w:rsid w:val="00BA6146"/>
    <w:rsid w:val="00BB531B"/>
    <w:rsid w:val="00BB6921"/>
    <w:rsid w:val="00BF331B"/>
    <w:rsid w:val="00C10A93"/>
    <w:rsid w:val="00C439EC"/>
    <w:rsid w:val="00C5307B"/>
    <w:rsid w:val="00C72168"/>
    <w:rsid w:val="00C757F4"/>
    <w:rsid w:val="00C75A9D"/>
    <w:rsid w:val="00C95F77"/>
    <w:rsid w:val="00CA49B9"/>
    <w:rsid w:val="00CB19DE"/>
    <w:rsid w:val="00CB475B"/>
    <w:rsid w:val="00CC1B47"/>
    <w:rsid w:val="00CE451E"/>
    <w:rsid w:val="00D06EC8"/>
    <w:rsid w:val="00D136EA"/>
    <w:rsid w:val="00D251ED"/>
    <w:rsid w:val="00D827A6"/>
    <w:rsid w:val="00D831E4"/>
    <w:rsid w:val="00D86187"/>
    <w:rsid w:val="00D95949"/>
    <w:rsid w:val="00DA0292"/>
    <w:rsid w:val="00DA23DE"/>
    <w:rsid w:val="00DB29E9"/>
    <w:rsid w:val="00DE34CF"/>
    <w:rsid w:val="00DE77B9"/>
    <w:rsid w:val="00DF1112"/>
    <w:rsid w:val="00E1605D"/>
    <w:rsid w:val="00E32B6B"/>
    <w:rsid w:val="00E5387A"/>
    <w:rsid w:val="00E55E84"/>
    <w:rsid w:val="00E946F8"/>
    <w:rsid w:val="00EB68B0"/>
    <w:rsid w:val="00F4190F"/>
    <w:rsid w:val="00F42DD3"/>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786A51"/>
  <w15:docId w15:val="{30837E7F-576F-4D70-B08F-513BC620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20(2).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