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52" w:rsidRPr="003E5852" w:rsidRDefault="003E5852" w:rsidP="003E585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July 29, 2014</w:t>
      </w:r>
    </w:p>
    <w:p w:rsidR="003E5852" w:rsidRDefault="003E5852" w:rsidP="00570CB9">
      <w:pPr>
        <w:jc w:val="center"/>
        <w:rPr>
          <w:b/>
          <w:sz w:val="28"/>
          <w:szCs w:val="28"/>
        </w:rPr>
      </w:pPr>
    </w:p>
    <w:p w:rsidR="00E1755A" w:rsidRDefault="00570CB9" w:rsidP="00570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A</w:t>
      </w:r>
    </w:p>
    <w:p w:rsidR="00570CB9" w:rsidRDefault="00570CB9" w:rsidP="00570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Capacity Senior Task Force</w:t>
      </w:r>
    </w:p>
    <w:p w:rsidR="00570CB9" w:rsidRDefault="00570CB9" w:rsidP="00570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Trie</w:t>
      </w:r>
      <w:r w:rsidR="00F02088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nial Review of </w:t>
      </w:r>
      <w:r w:rsidR="00805AA3">
        <w:rPr>
          <w:b/>
          <w:sz w:val="28"/>
          <w:szCs w:val="28"/>
        </w:rPr>
        <w:t>Reliability Pricing Model</w:t>
      </w:r>
    </w:p>
    <w:p w:rsidR="00F02088" w:rsidRDefault="00F02088" w:rsidP="00570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MD PSC </w:t>
      </w:r>
      <w:r w:rsidR="00805AA3">
        <w:rPr>
          <w:b/>
          <w:sz w:val="28"/>
          <w:szCs w:val="28"/>
        </w:rPr>
        <w:t xml:space="preserve">Matrix Solutions </w:t>
      </w:r>
      <w:r>
        <w:rPr>
          <w:b/>
          <w:sz w:val="28"/>
          <w:szCs w:val="28"/>
        </w:rPr>
        <w:t>Package</w:t>
      </w:r>
    </w:p>
    <w:p w:rsidR="00F02088" w:rsidRDefault="00F02088" w:rsidP="00570CB9">
      <w:pPr>
        <w:jc w:val="center"/>
        <w:rPr>
          <w:b/>
          <w:sz w:val="28"/>
          <w:szCs w:val="28"/>
        </w:rPr>
      </w:pPr>
    </w:p>
    <w:p w:rsidR="002F0076" w:rsidRPr="002F0076" w:rsidRDefault="002F0076" w:rsidP="00F02088">
      <w:pPr>
        <w:rPr>
          <w:szCs w:val="24"/>
          <w:u w:val="single"/>
        </w:rPr>
      </w:pPr>
      <w:r>
        <w:rPr>
          <w:szCs w:val="24"/>
          <w:u w:val="single"/>
        </w:rPr>
        <w:t>Matrix Element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>MD PSC Solutions Statement</w:t>
      </w:r>
    </w:p>
    <w:p w:rsidR="002F0076" w:rsidRDefault="002F0076" w:rsidP="00F02088">
      <w:pPr>
        <w:rPr>
          <w:szCs w:val="24"/>
        </w:rPr>
      </w:pPr>
    </w:p>
    <w:p w:rsidR="00D421E3" w:rsidRDefault="002F0076" w:rsidP="00F02088">
      <w:pPr>
        <w:rPr>
          <w:szCs w:val="24"/>
        </w:rPr>
      </w:pPr>
      <w:r>
        <w:rPr>
          <w:szCs w:val="24"/>
        </w:rPr>
        <w:t>Line 1 Gross CONE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26727F">
        <w:rPr>
          <w:szCs w:val="24"/>
        </w:rPr>
        <w:t>CONE</w:t>
      </w:r>
      <w:proofErr w:type="spellEnd"/>
      <w:r w:rsidR="0026727F">
        <w:rPr>
          <w:szCs w:val="24"/>
        </w:rPr>
        <w:t xml:space="preserve"> Area 2 </w:t>
      </w:r>
      <w:r w:rsidR="00093303">
        <w:rPr>
          <w:szCs w:val="24"/>
        </w:rPr>
        <w:t xml:space="preserve">(SWMAAC) </w:t>
      </w:r>
      <w:r w:rsidR="0026727F">
        <w:rPr>
          <w:szCs w:val="24"/>
        </w:rPr>
        <w:t xml:space="preserve">Gross CONE proposed by PJM/Brattle </w:t>
      </w:r>
    </w:p>
    <w:p w:rsidR="00A010F3" w:rsidRDefault="0026727F" w:rsidP="00D421E3">
      <w:pPr>
        <w:ind w:left="2880"/>
        <w:rPr>
          <w:szCs w:val="24"/>
        </w:rPr>
      </w:pPr>
      <w:r>
        <w:rPr>
          <w:szCs w:val="24"/>
        </w:rPr>
        <w:t>($148</w:t>
      </w:r>
      <w:r w:rsidR="00805AA3">
        <w:rPr>
          <w:szCs w:val="24"/>
        </w:rPr>
        <w:t>,</w:t>
      </w:r>
      <w:r w:rsidR="00093303">
        <w:rPr>
          <w:szCs w:val="24"/>
        </w:rPr>
        <w:t>40</w:t>
      </w:r>
      <w:r w:rsidR="00805AA3">
        <w:rPr>
          <w:szCs w:val="24"/>
        </w:rPr>
        <w:t>0</w:t>
      </w:r>
      <w:r w:rsidR="00093303">
        <w:rPr>
          <w:szCs w:val="24"/>
        </w:rPr>
        <w:t>)</w:t>
      </w:r>
      <w:r>
        <w:rPr>
          <w:szCs w:val="24"/>
        </w:rPr>
        <w:t xml:space="preserve"> </w:t>
      </w:r>
      <w:r w:rsidR="00093303">
        <w:rPr>
          <w:szCs w:val="24"/>
        </w:rPr>
        <w:t xml:space="preserve">may require </w:t>
      </w:r>
      <w:r w:rsidR="00805AA3">
        <w:rPr>
          <w:szCs w:val="24"/>
        </w:rPr>
        <w:t xml:space="preserve">adjustment to correct an </w:t>
      </w:r>
      <w:r w:rsidR="00AA43A3">
        <w:rPr>
          <w:szCs w:val="24"/>
        </w:rPr>
        <w:t>overstatement caused by</w:t>
      </w:r>
      <w:r w:rsidR="00093303">
        <w:rPr>
          <w:szCs w:val="24"/>
        </w:rPr>
        <w:t xml:space="preserve"> relying upon only higher cost labor markets </w:t>
      </w:r>
      <w:r w:rsidR="00A010F3">
        <w:rPr>
          <w:szCs w:val="24"/>
        </w:rPr>
        <w:t>to obtain Maryland labor rates and to reflect IMM presented evidence that CT equipment costs are overstated.  Pote</w:t>
      </w:r>
      <w:r w:rsidR="00AA43A3">
        <w:rPr>
          <w:szCs w:val="24"/>
        </w:rPr>
        <w:t>ntial downward adjustment is understood to be</w:t>
      </w:r>
      <w:r w:rsidR="00A010F3">
        <w:rPr>
          <w:szCs w:val="24"/>
        </w:rPr>
        <w:t xml:space="preserve"> approximately 15 to 20%.</w:t>
      </w:r>
    </w:p>
    <w:p w:rsidR="00A010F3" w:rsidRDefault="00A010F3" w:rsidP="00A010F3">
      <w:pPr>
        <w:rPr>
          <w:szCs w:val="24"/>
        </w:rPr>
      </w:pPr>
    </w:p>
    <w:p w:rsidR="00093303" w:rsidRDefault="001B6BE5" w:rsidP="00C7572C">
      <w:pPr>
        <w:ind w:left="2880" w:hanging="2880"/>
        <w:rPr>
          <w:szCs w:val="24"/>
        </w:rPr>
      </w:pPr>
      <w:r>
        <w:rPr>
          <w:szCs w:val="24"/>
        </w:rPr>
        <w:t xml:space="preserve">Line 2 </w:t>
      </w:r>
      <w:proofErr w:type="spellStart"/>
      <w:r w:rsidR="00C7572C">
        <w:rPr>
          <w:szCs w:val="24"/>
        </w:rPr>
        <w:t>Levelization</w:t>
      </w:r>
      <w:proofErr w:type="spellEnd"/>
      <w:r w:rsidR="00C7572C">
        <w:rPr>
          <w:szCs w:val="24"/>
        </w:rPr>
        <w:t xml:space="preserve"> Method</w:t>
      </w:r>
      <w:r w:rsidR="00C7572C">
        <w:rPr>
          <w:szCs w:val="24"/>
        </w:rPr>
        <w:tab/>
      </w:r>
      <w:r w:rsidR="0091274C">
        <w:rPr>
          <w:szCs w:val="24"/>
        </w:rPr>
        <w:t xml:space="preserve">Reject level-nominal method.  Adopt level-real method.  Level-nominal is inconsistent with </w:t>
      </w:r>
      <w:r w:rsidR="006C5AD2">
        <w:rPr>
          <w:szCs w:val="24"/>
        </w:rPr>
        <w:t xml:space="preserve">PJM proposed revenue offset calculations, is opposed by Brattle, not used by NYISO or ISO-NE and should be rejected for additional reasons stated in </w:t>
      </w:r>
      <w:r w:rsidR="00916654">
        <w:rPr>
          <w:szCs w:val="24"/>
        </w:rPr>
        <w:t>Brattle’s 2011 &amp; 2013 Reports</w:t>
      </w:r>
      <w:r w:rsidR="00C7572C">
        <w:rPr>
          <w:szCs w:val="24"/>
        </w:rPr>
        <w:t>.  Rejection of level-nominal reduces Gross CONE by about 15%</w:t>
      </w:r>
      <w:r w:rsidR="002804DA">
        <w:rPr>
          <w:szCs w:val="24"/>
        </w:rPr>
        <w:t xml:space="preserve"> to $126,000</w:t>
      </w:r>
      <w:r w:rsidR="00C7572C">
        <w:rPr>
          <w:szCs w:val="24"/>
        </w:rPr>
        <w:t>.</w:t>
      </w:r>
    </w:p>
    <w:p w:rsidR="00C7572C" w:rsidRDefault="00C7572C" w:rsidP="00C7572C">
      <w:pPr>
        <w:ind w:left="2880" w:hanging="2880"/>
        <w:rPr>
          <w:szCs w:val="24"/>
        </w:rPr>
      </w:pPr>
    </w:p>
    <w:p w:rsidR="00C7572C" w:rsidRDefault="001B6BE5" w:rsidP="00630D44">
      <w:pPr>
        <w:ind w:left="720" w:hanging="720"/>
        <w:rPr>
          <w:szCs w:val="24"/>
        </w:rPr>
      </w:pPr>
      <w:r>
        <w:rPr>
          <w:szCs w:val="24"/>
        </w:rPr>
        <w:t>Line 3 Reference Resource</w:t>
      </w:r>
      <w:r>
        <w:rPr>
          <w:szCs w:val="24"/>
        </w:rPr>
        <w:tab/>
      </w:r>
      <w:r w:rsidR="0068139D">
        <w:rPr>
          <w:szCs w:val="24"/>
        </w:rPr>
        <w:t>Status Quo</w:t>
      </w:r>
      <w:r w:rsidR="00A634E0">
        <w:rPr>
          <w:szCs w:val="24"/>
        </w:rPr>
        <w:t xml:space="preserve"> – Combustion Turbine (CT) GE Frame </w:t>
      </w:r>
      <w:r w:rsidR="00630D44">
        <w:rPr>
          <w:szCs w:val="24"/>
        </w:rPr>
        <w:t xml:space="preserve">7FA with SCR Technology </w:t>
      </w:r>
      <w:r w:rsidR="00630D44">
        <w:rPr>
          <w:szCs w:val="24"/>
        </w:rPr>
        <w:tab/>
      </w:r>
      <w:r w:rsidR="00630D44">
        <w:rPr>
          <w:szCs w:val="24"/>
        </w:rPr>
        <w:tab/>
      </w:r>
      <w:r w:rsidR="00D421E3">
        <w:rPr>
          <w:szCs w:val="24"/>
        </w:rPr>
        <w:t>and Dual Fuel capa</w:t>
      </w:r>
      <w:r w:rsidR="00A634E0">
        <w:rPr>
          <w:szCs w:val="24"/>
        </w:rPr>
        <w:t>bility</w:t>
      </w:r>
      <w:r>
        <w:rPr>
          <w:szCs w:val="24"/>
        </w:rPr>
        <w:t xml:space="preserve"> </w:t>
      </w:r>
    </w:p>
    <w:p w:rsidR="0068139D" w:rsidRDefault="0068139D" w:rsidP="0068139D">
      <w:pPr>
        <w:rPr>
          <w:szCs w:val="24"/>
        </w:rPr>
      </w:pPr>
    </w:p>
    <w:p w:rsidR="00114491" w:rsidRDefault="0068139D" w:rsidP="0068139D">
      <w:pPr>
        <w:rPr>
          <w:szCs w:val="24"/>
        </w:rPr>
      </w:pPr>
      <w:r>
        <w:rPr>
          <w:szCs w:val="24"/>
        </w:rPr>
        <w:t xml:space="preserve">Line 4 Net E &amp; AS </w:t>
      </w:r>
      <w:r w:rsidR="00114491">
        <w:rPr>
          <w:szCs w:val="24"/>
        </w:rPr>
        <w:t>Revenue</w:t>
      </w:r>
      <w:r w:rsidR="00630D44">
        <w:rPr>
          <w:szCs w:val="24"/>
        </w:rPr>
        <w:tab/>
      </w:r>
      <w:r w:rsidR="00057F7E">
        <w:rPr>
          <w:szCs w:val="24"/>
        </w:rPr>
        <w:t xml:space="preserve">At present, pending additional data to be supplied by PJM, MD </w:t>
      </w:r>
    </w:p>
    <w:p w:rsidR="0068139D" w:rsidRDefault="00114491" w:rsidP="00F061FB">
      <w:pPr>
        <w:ind w:left="2880" w:hanging="2160"/>
        <w:rPr>
          <w:szCs w:val="24"/>
        </w:rPr>
      </w:pPr>
      <w:r>
        <w:rPr>
          <w:szCs w:val="24"/>
        </w:rPr>
        <w:t xml:space="preserve">Offset </w:t>
      </w:r>
      <w:r w:rsidR="00057F7E">
        <w:rPr>
          <w:szCs w:val="24"/>
        </w:rPr>
        <w:t>Methodology</w:t>
      </w:r>
      <w:r w:rsidR="00057F7E">
        <w:rPr>
          <w:szCs w:val="24"/>
        </w:rPr>
        <w:tab/>
        <w:t xml:space="preserve">PSC supports continuation of existing historical </w:t>
      </w:r>
      <w:r w:rsidR="008D0A1A">
        <w:rPr>
          <w:szCs w:val="24"/>
        </w:rPr>
        <w:t xml:space="preserve">3-year backward looking average method.  MD PSC may be willing to consider Brattle recommended </w:t>
      </w:r>
      <w:r w:rsidR="00F061FB">
        <w:rPr>
          <w:szCs w:val="24"/>
        </w:rPr>
        <w:t>forward looking method adopted by ISO-NE.</w:t>
      </w:r>
    </w:p>
    <w:p w:rsidR="00236CE3" w:rsidRDefault="00236CE3" w:rsidP="00F061FB">
      <w:pPr>
        <w:rPr>
          <w:szCs w:val="24"/>
        </w:rPr>
      </w:pPr>
    </w:p>
    <w:p w:rsidR="00F061FB" w:rsidRDefault="00F061FB" w:rsidP="00F061FB">
      <w:pPr>
        <w:rPr>
          <w:szCs w:val="24"/>
        </w:rPr>
      </w:pPr>
      <w:r>
        <w:rPr>
          <w:szCs w:val="24"/>
        </w:rPr>
        <w:t>Line 5 VRR Curve Shape</w:t>
      </w:r>
      <w:r w:rsidR="00236CE3">
        <w:rPr>
          <w:szCs w:val="24"/>
        </w:rPr>
        <w:t xml:space="preserve"> - </w:t>
      </w:r>
      <w:r w:rsidR="00236CE3">
        <w:rPr>
          <w:szCs w:val="24"/>
        </w:rPr>
        <w:tab/>
        <w:t>Status Quo except that MD PSC is still studying the pros/cons of</w:t>
      </w:r>
      <w:r w:rsidR="00236CE3">
        <w:rPr>
          <w:szCs w:val="24"/>
        </w:rPr>
        <w:tab/>
      </w:r>
      <w:r>
        <w:rPr>
          <w:szCs w:val="24"/>
        </w:rPr>
        <w:t xml:space="preserve"> </w:t>
      </w:r>
    </w:p>
    <w:p w:rsidR="00F061FB" w:rsidRDefault="00F061FB" w:rsidP="00354DBB">
      <w:pPr>
        <w:ind w:left="2880" w:hanging="2160"/>
        <w:rPr>
          <w:szCs w:val="24"/>
        </w:rPr>
      </w:pPr>
      <w:r>
        <w:rPr>
          <w:szCs w:val="24"/>
        </w:rPr>
        <w:t>System</w:t>
      </w:r>
      <w:r w:rsidR="00354DBB">
        <w:rPr>
          <w:szCs w:val="24"/>
        </w:rPr>
        <w:tab/>
      </w:r>
      <w:r w:rsidR="00BE0E5A">
        <w:rPr>
          <w:szCs w:val="24"/>
        </w:rPr>
        <w:t xml:space="preserve">moving Point </w:t>
      </w:r>
      <w:r w:rsidR="002804DA">
        <w:rPr>
          <w:szCs w:val="24"/>
        </w:rPr>
        <w:t>“</w:t>
      </w:r>
      <w:r w:rsidR="00BE0E5A">
        <w:rPr>
          <w:szCs w:val="24"/>
        </w:rPr>
        <w:t>a</w:t>
      </w:r>
      <w:r w:rsidR="002804DA">
        <w:rPr>
          <w:szCs w:val="24"/>
        </w:rPr>
        <w:t>”</w:t>
      </w:r>
      <w:r w:rsidR="00BE0E5A">
        <w:rPr>
          <w:szCs w:val="24"/>
        </w:rPr>
        <w:t xml:space="preserve"> to quantity = IRM –</w:t>
      </w:r>
      <w:r w:rsidR="0089678B">
        <w:rPr>
          <w:szCs w:val="24"/>
        </w:rPr>
        <w:t xml:space="preserve"> 0</w:t>
      </w:r>
      <w:r w:rsidR="00BE0E5A">
        <w:rPr>
          <w:szCs w:val="24"/>
        </w:rPr>
        <w:t>.2%, price + greater (CONE or 1.5</w:t>
      </w:r>
      <w:r w:rsidR="00354DBB">
        <w:rPr>
          <w:szCs w:val="24"/>
        </w:rPr>
        <w:t>x Net CONE).</w:t>
      </w:r>
    </w:p>
    <w:p w:rsidR="00354DBB" w:rsidRDefault="00354DBB" w:rsidP="00354DBB">
      <w:pPr>
        <w:rPr>
          <w:szCs w:val="24"/>
        </w:rPr>
      </w:pPr>
    </w:p>
    <w:p w:rsidR="00354DBB" w:rsidRDefault="00354DBB" w:rsidP="00354DBB">
      <w:pPr>
        <w:rPr>
          <w:szCs w:val="24"/>
        </w:rPr>
      </w:pPr>
      <w:r>
        <w:rPr>
          <w:szCs w:val="24"/>
        </w:rPr>
        <w:t xml:space="preserve">Line 6 VRR Curve </w:t>
      </w:r>
      <w:r w:rsidR="006B6AB3">
        <w:rPr>
          <w:szCs w:val="24"/>
        </w:rPr>
        <w:tab/>
      </w:r>
      <w:r w:rsidR="006B6AB3">
        <w:rPr>
          <w:szCs w:val="24"/>
        </w:rPr>
        <w:tab/>
      </w:r>
      <w:r w:rsidR="0089678B">
        <w:rPr>
          <w:szCs w:val="24"/>
        </w:rPr>
        <w:t>Same as System Recommendation of MD PSC as stated in Line 5</w:t>
      </w:r>
    </w:p>
    <w:p w:rsidR="00354DBB" w:rsidRDefault="00354DBB" w:rsidP="00354DBB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Shape</w:t>
      </w:r>
      <w:r w:rsidR="006B6AB3">
        <w:rPr>
          <w:szCs w:val="24"/>
        </w:rPr>
        <w:t xml:space="preserve"> </w:t>
      </w:r>
      <w:r w:rsidR="0089678B">
        <w:rPr>
          <w:szCs w:val="24"/>
        </w:rPr>
        <w:t>–</w:t>
      </w:r>
      <w:r w:rsidR="006B6AB3">
        <w:rPr>
          <w:szCs w:val="24"/>
        </w:rPr>
        <w:t xml:space="preserve"> Local</w:t>
      </w:r>
      <w:r w:rsidR="0089678B">
        <w:rPr>
          <w:szCs w:val="24"/>
        </w:rPr>
        <w:tab/>
      </w:r>
      <w:r w:rsidR="0089678B">
        <w:rPr>
          <w:szCs w:val="24"/>
        </w:rPr>
        <w:tab/>
        <w:t>above.</w:t>
      </w:r>
      <w:proofErr w:type="gramEnd"/>
    </w:p>
    <w:p w:rsidR="0089678B" w:rsidRDefault="0089678B" w:rsidP="00354DBB">
      <w:pPr>
        <w:rPr>
          <w:szCs w:val="24"/>
        </w:rPr>
      </w:pPr>
    </w:p>
    <w:p w:rsidR="0089678B" w:rsidRDefault="0089678B" w:rsidP="00354DBB">
      <w:pPr>
        <w:rPr>
          <w:szCs w:val="24"/>
        </w:rPr>
      </w:pPr>
      <w:r>
        <w:rPr>
          <w:szCs w:val="24"/>
        </w:rPr>
        <w:t>Line 7 Index Used for</w:t>
      </w:r>
      <w:r>
        <w:rPr>
          <w:szCs w:val="24"/>
        </w:rPr>
        <w:tab/>
      </w:r>
      <w:r>
        <w:rPr>
          <w:szCs w:val="24"/>
        </w:rPr>
        <w:tab/>
      </w:r>
      <w:r w:rsidR="00DC6B57">
        <w:rPr>
          <w:szCs w:val="24"/>
        </w:rPr>
        <w:t xml:space="preserve">Bureau of Labor Statistics indices for wages, materials and turbine </w:t>
      </w:r>
      <w:r>
        <w:rPr>
          <w:szCs w:val="24"/>
        </w:rPr>
        <w:t xml:space="preserve"> </w:t>
      </w:r>
    </w:p>
    <w:p w:rsidR="0089678B" w:rsidRDefault="0089678B" w:rsidP="0089678B">
      <w:pPr>
        <w:ind w:firstLine="720"/>
        <w:rPr>
          <w:szCs w:val="24"/>
        </w:rPr>
      </w:pPr>
      <w:r>
        <w:rPr>
          <w:szCs w:val="24"/>
        </w:rPr>
        <w:t>CONE escalation</w:t>
      </w:r>
      <w:r w:rsidR="00DC6B57">
        <w:rPr>
          <w:szCs w:val="24"/>
        </w:rPr>
        <w:tab/>
        <w:t>with weighting</w:t>
      </w:r>
    </w:p>
    <w:p w:rsidR="00DC6B57" w:rsidRDefault="00DC6B57" w:rsidP="00DC6B57">
      <w:pPr>
        <w:rPr>
          <w:szCs w:val="24"/>
        </w:rPr>
      </w:pPr>
    </w:p>
    <w:p w:rsidR="00BA2B50" w:rsidRDefault="00BA2B50" w:rsidP="00DC6B57">
      <w:pPr>
        <w:rPr>
          <w:szCs w:val="24"/>
        </w:rPr>
      </w:pPr>
      <w:r>
        <w:rPr>
          <w:szCs w:val="24"/>
        </w:rPr>
        <w:t>Line 8 RTO-Wide Gross</w:t>
      </w:r>
      <w:r>
        <w:rPr>
          <w:szCs w:val="24"/>
        </w:rPr>
        <w:tab/>
        <w:t>Use Average of CONE Area</w:t>
      </w:r>
      <w:r w:rsidR="00467F0C">
        <w:rPr>
          <w:szCs w:val="24"/>
        </w:rPr>
        <w:t xml:space="preserve">.  MD PSC takes no position on </w:t>
      </w:r>
      <w:r>
        <w:rPr>
          <w:szCs w:val="24"/>
        </w:rPr>
        <w:t xml:space="preserve"> </w:t>
      </w:r>
    </w:p>
    <w:p w:rsidR="00DC6B57" w:rsidRDefault="00BA2B50" w:rsidP="00BA2B50">
      <w:pPr>
        <w:ind w:firstLine="720"/>
        <w:rPr>
          <w:szCs w:val="24"/>
        </w:rPr>
      </w:pPr>
      <w:proofErr w:type="gramStart"/>
      <w:r>
        <w:rPr>
          <w:szCs w:val="24"/>
        </w:rPr>
        <w:t>CONE</w:t>
      </w:r>
      <w:r w:rsidR="00467F0C">
        <w:rPr>
          <w:szCs w:val="24"/>
        </w:rPr>
        <w:tab/>
      </w:r>
      <w:r w:rsidR="00467F0C">
        <w:rPr>
          <w:szCs w:val="24"/>
        </w:rPr>
        <w:tab/>
      </w:r>
      <w:r w:rsidR="00467F0C">
        <w:rPr>
          <w:szCs w:val="24"/>
        </w:rPr>
        <w:tab/>
        <w:t>retention of CONE Area 5.</w:t>
      </w:r>
      <w:proofErr w:type="gramEnd"/>
    </w:p>
    <w:p w:rsidR="00467F0C" w:rsidRDefault="00467F0C" w:rsidP="00467F0C">
      <w:pPr>
        <w:rPr>
          <w:szCs w:val="24"/>
        </w:rPr>
      </w:pPr>
    </w:p>
    <w:p w:rsidR="004D30EB" w:rsidRDefault="00467F0C" w:rsidP="004D30EB">
      <w:pPr>
        <w:ind w:left="1440" w:hanging="1440"/>
        <w:rPr>
          <w:szCs w:val="24"/>
        </w:rPr>
      </w:pPr>
      <w:r>
        <w:rPr>
          <w:szCs w:val="24"/>
        </w:rPr>
        <w:lastRenderedPageBreak/>
        <w:t xml:space="preserve">Line 9 </w:t>
      </w:r>
      <w:r w:rsidR="00470EDB">
        <w:rPr>
          <w:szCs w:val="24"/>
        </w:rPr>
        <w:t>Method for</w:t>
      </w:r>
      <w:r w:rsidR="00EF5958">
        <w:rPr>
          <w:szCs w:val="24"/>
        </w:rPr>
        <w:tab/>
      </w:r>
      <w:r w:rsidR="00FD39CE">
        <w:rPr>
          <w:szCs w:val="24"/>
        </w:rPr>
        <w:t xml:space="preserve">Do not determine a Net CONE for each </w:t>
      </w:r>
      <w:r w:rsidR="005467F1">
        <w:rPr>
          <w:szCs w:val="24"/>
        </w:rPr>
        <w:t>CONE Area, instead</w:t>
      </w:r>
      <w:r w:rsidR="004D30EB">
        <w:rPr>
          <w:szCs w:val="24"/>
        </w:rPr>
        <w:t xml:space="preserve"> determine a</w:t>
      </w:r>
    </w:p>
    <w:p w:rsidR="00467F0C" w:rsidRDefault="005467F1" w:rsidP="00220251">
      <w:pPr>
        <w:ind w:left="810" w:hanging="90"/>
        <w:rPr>
          <w:szCs w:val="24"/>
        </w:rPr>
      </w:pPr>
      <w:r>
        <w:rPr>
          <w:szCs w:val="24"/>
        </w:rPr>
        <w:t xml:space="preserve"> </w:t>
      </w:r>
      <w:r w:rsidR="0072715B">
        <w:rPr>
          <w:szCs w:val="24"/>
        </w:rPr>
        <w:t xml:space="preserve">Calculating </w:t>
      </w:r>
      <w:r w:rsidR="0072715B">
        <w:rPr>
          <w:szCs w:val="24"/>
        </w:rPr>
        <w:tab/>
      </w:r>
      <w:r>
        <w:rPr>
          <w:szCs w:val="24"/>
        </w:rPr>
        <w:t>Net CONE for each zone using the Gross CONE of the</w:t>
      </w:r>
      <w:r w:rsidR="00220251">
        <w:rPr>
          <w:szCs w:val="24"/>
        </w:rPr>
        <w:t xml:space="preserve"> </w:t>
      </w:r>
      <w:r>
        <w:rPr>
          <w:szCs w:val="24"/>
        </w:rPr>
        <w:t xml:space="preserve">CONE Area </w:t>
      </w:r>
      <w:proofErr w:type="gramStart"/>
      <w:r w:rsidR="00220251">
        <w:rPr>
          <w:szCs w:val="24"/>
        </w:rPr>
        <w:t xml:space="preserve">to </w:t>
      </w:r>
      <w:r w:rsidR="00E1241C">
        <w:rPr>
          <w:szCs w:val="24"/>
        </w:rPr>
        <w:t xml:space="preserve"> </w:t>
      </w:r>
      <w:r w:rsidR="00220251">
        <w:rPr>
          <w:szCs w:val="24"/>
        </w:rPr>
        <w:t>Net</w:t>
      </w:r>
      <w:proofErr w:type="gramEnd"/>
      <w:r w:rsidR="00220251">
        <w:rPr>
          <w:szCs w:val="24"/>
        </w:rPr>
        <w:t xml:space="preserve"> CONE</w:t>
      </w:r>
      <w:r w:rsidR="00220251">
        <w:rPr>
          <w:szCs w:val="24"/>
        </w:rPr>
        <w:tab/>
        <w:t xml:space="preserve"> </w:t>
      </w:r>
      <w:r w:rsidR="00763CF3">
        <w:rPr>
          <w:szCs w:val="24"/>
        </w:rPr>
        <w:t xml:space="preserve">which </w:t>
      </w:r>
      <w:r w:rsidR="00E1241C">
        <w:rPr>
          <w:szCs w:val="24"/>
        </w:rPr>
        <w:t>the zone is</w:t>
      </w:r>
      <w:r w:rsidR="00E041D5">
        <w:rPr>
          <w:szCs w:val="24"/>
        </w:rPr>
        <w:t xml:space="preserve"> </w:t>
      </w:r>
      <w:r w:rsidR="00A2101D">
        <w:rPr>
          <w:szCs w:val="24"/>
        </w:rPr>
        <w:t>assigned minus the Net EAS</w:t>
      </w:r>
      <w:r w:rsidR="00E1241C">
        <w:rPr>
          <w:szCs w:val="24"/>
        </w:rPr>
        <w:t xml:space="preserve"> </w:t>
      </w:r>
      <w:r w:rsidR="00763CF3">
        <w:rPr>
          <w:szCs w:val="24"/>
        </w:rPr>
        <w:t>for each zone</w:t>
      </w:r>
      <w:r w:rsidR="00470EDB">
        <w:rPr>
          <w:szCs w:val="24"/>
        </w:rPr>
        <w:tab/>
      </w:r>
    </w:p>
    <w:p w:rsidR="00E041D5" w:rsidRDefault="00470EDB" w:rsidP="004D30EB">
      <w:pPr>
        <w:ind w:hanging="1440"/>
        <w:rPr>
          <w:szCs w:val="24"/>
        </w:rPr>
      </w:pPr>
      <w:r>
        <w:rPr>
          <w:szCs w:val="24"/>
        </w:rPr>
        <w:tab/>
        <w:t xml:space="preserve"> </w:t>
      </w:r>
      <w:r w:rsidR="00E041D5">
        <w:rPr>
          <w:szCs w:val="24"/>
        </w:rPr>
        <w:tab/>
      </w:r>
      <w:proofErr w:type="gramStart"/>
      <w:r w:rsidR="00E041D5">
        <w:rPr>
          <w:szCs w:val="24"/>
        </w:rPr>
        <w:t xml:space="preserve">For </w:t>
      </w:r>
      <w:r>
        <w:rPr>
          <w:szCs w:val="24"/>
        </w:rPr>
        <w:t xml:space="preserve">Each </w:t>
      </w:r>
      <w:r w:rsidR="00A2101D">
        <w:rPr>
          <w:szCs w:val="24"/>
        </w:rPr>
        <w:tab/>
        <w:t xml:space="preserve">using peak-period dispatch </w:t>
      </w:r>
      <w:r w:rsidR="004D30EB">
        <w:rPr>
          <w:szCs w:val="24"/>
        </w:rPr>
        <w:t xml:space="preserve">against the applicable </w:t>
      </w:r>
      <w:r w:rsidR="00EC74CE">
        <w:rPr>
          <w:szCs w:val="24"/>
        </w:rPr>
        <w:t>zonal LMP.</w:t>
      </w:r>
      <w:bookmarkStart w:id="0" w:name="_GoBack"/>
      <w:bookmarkEnd w:id="0"/>
      <w:proofErr w:type="gramEnd"/>
    </w:p>
    <w:p w:rsidR="00470EDB" w:rsidRDefault="00470EDB" w:rsidP="004D30EB">
      <w:pPr>
        <w:ind w:firstLine="720"/>
        <w:rPr>
          <w:szCs w:val="24"/>
        </w:rPr>
      </w:pPr>
      <w:r>
        <w:rPr>
          <w:szCs w:val="24"/>
        </w:rPr>
        <w:t>CONE Area</w:t>
      </w:r>
      <w:r w:rsidR="00EC74CE">
        <w:rPr>
          <w:szCs w:val="24"/>
        </w:rPr>
        <w:tab/>
      </w:r>
    </w:p>
    <w:p w:rsidR="00763CF3" w:rsidRDefault="00763CF3" w:rsidP="00763CF3">
      <w:pPr>
        <w:rPr>
          <w:szCs w:val="24"/>
        </w:rPr>
      </w:pPr>
    </w:p>
    <w:p w:rsidR="00763CF3" w:rsidRDefault="001C1856" w:rsidP="00763CF3">
      <w:pPr>
        <w:rPr>
          <w:szCs w:val="24"/>
        </w:rPr>
      </w:pPr>
      <w:r>
        <w:rPr>
          <w:szCs w:val="24"/>
        </w:rPr>
        <w:t xml:space="preserve">Line 10 Method for </w:t>
      </w:r>
      <w:r w:rsidR="00B12394">
        <w:rPr>
          <w:szCs w:val="24"/>
        </w:rPr>
        <w:tab/>
        <w:t>Status Quo</w:t>
      </w:r>
    </w:p>
    <w:p w:rsidR="001C1856" w:rsidRDefault="001C1856" w:rsidP="00763CF3">
      <w:pPr>
        <w:rPr>
          <w:szCs w:val="24"/>
        </w:rPr>
      </w:pPr>
      <w:r>
        <w:rPr>
          <w:szCs w:val="24"/>
        </w:rPr>
        <w:tab/>
        <w:t xml:space="preserve">Calculating </w:t>
      </w:r>
    </w:p>
    <w:p w:rsidR="001C1856" w:rsidRDefault="001C1856" w:rsidP="00763CF3">
      <w:pPr>
        <w:rPr>
          <w:szCs w:val="24"/>
        </w:rPr>
      </w:pPr>
      <w:r>
        <w:rPr>
          <w:szCs w:val="24"/>
        </w:rPr>
        <w:tab/>
        <w:t>Net CONE</w:t>
      </w:r>
    </w:p>
    <w:p w:rsidR="001C1856" w:rsidRDefault="001C1856" w:rsidP="00763CF3">
      <w:pPr>
        <w:rPr>
          <w:szCs w:val="24"/>
        </w:rPr>
      </w:pPr>
      <w:r>
        <w:rPr>
          <w:szCs w:val="24"/>
        </w:rPr>
        <w:tab/>
        <w:t>For RTO</w:t>
      </w:r>
    </w:p>
    <w:p w:rsidR="00B12394" w:rsidRDefault="00B12394" w:rsidP="00763CF3">
      <w:pPr>
        <w:rPr>
          <w:szCs w:val="24"/>
        </w:rPr>
      </w:pPr>
    </w:p>
    <w:p w:rsidR="00B12394" w:rsidRDefault="005C0858" w:rsidP="00763CF3">
      <w:pPr>
        <w:rPr>
          <w:szCs w:val="24"/>
        </w:rPr>
      </w:pPr>
      <w:r>
        <w:rPr>
          <w:szCs w:val="24"/>
        </w:rPr>
        <w:t>Line 11 Method for</w:t>
      </w:r>
      <w:r>
        <w:rPr>
          <w:szCs w:val="24"/>
        </w:rPr>
        <w:tab/>
      </w:r>
      <w:r w:rsidR="0054079E">
        <w:rPr>
          <w:szCs w:val="24"/>
        </w:rPr>
        <w:t xml:space="preserve">For Zonal or sub-zonal LDAs, use the Net CONE calculated for that Zone.  </w:t>
      </w:r>
      <w:r>
        <w:rPr>
          <w:szCs w:val="24"/>
        </w:rPr>
        <w:t xml:space="preserve"> </w:t>
      </w:r>
    </w:p>
    <w:p w:rsidR="005C0858" w:rsidRDefault="005C0858" w:rsidP="00763CF3">
      <w:pPr>
        <w:rPr>
          <w:szCs w:val="24"/>
        </w:rPr>
      </w:pPr>
      <w:r>
        <w:rPr>
          <w:szCs w:val="24"/>
        </w:rPr>
        <w:tab/>
        <w:t xml:space="preserve">Calculating </w:t>
      </w:r>
      <w:r w:rsidR="0054079E">
        <w:rPr>
          <w:szCs w:val="24"/>
        </w:rPr>
        <w:tab/>
      </w:r>
      <w:r w:rsidR="00BC5CFB">
        <w:rPr>
          <w:szCs w:val="24"/>
        </w:rPr>
        <w:t xml:space="preserve">For LDAs that comprise multiple zones, use the average of the Net CONE </w:t>
      </w:r>
    </w:p>
    <w:p w:rsidR="005C0858" w:rsidRDefault="005C0858" w:rsidP="00763CF3">
      <w:pPr>
        <w:rPr>
          <w:szCs w:val="24"/>
        </w:rPr>
      </w:pPr>
      <w:r>
        <w:rPr>
          <w:szCs w:val="24"/>
        </w:rPr>
        <w:tab/>
        <w:t xml:space="preserve">Net CONE </w:t>
      </w:r>
      <w:r w:rsidR="00D11E42">
        <w:rPr>
          <w:szCs w:val="24"/>
        </w:rPr>
        <w:tab/>
        <w:t>determined for each of the applicable Zones.  Reject substitution of Parent</w:t>
      </w:r>
    </w:p>
    <w:p w:rsidR="005C0858" w:rsidRDefault="005C0858" w:rsidP="00763CF3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For each LDA</w:t>
      </w:r>
      <w:r w:rsidR="00D11E42">
        <w:rPr>
          <w:szCs w:val="24"/>
        </w:rPr>
        <w:tab/>
      </w:r>
      <w:r w:rsidR="00D11E42">
        <w:rPr>
          <w:szCs w:val="24"/>
        </w:rPr>
        <w:tab/>
        <w:t>LDA Net CONE.</w:t>
      </w:r>
      <w:proofErr w:type="gramEnd"/>
    </w:p>
    <w:p w:rsidR="004D693C" w:rsidRPr="003E5852" w:rsidRDefault="004D693C" w:rsidP="00763CF3">
      <w:pPr>
        <w:rPr>
          <w:szCs w:val="24"/>
        </w:rPr>
      </w:pPr>
    </w:p>
    <w:sectPr w:rsidR="004D693C" w:rsidRPr="003E5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B9"/>
    <w:rsid w:val="00055C91"/>
    <w:rsid w:val="00057F7E"/>
    <w:rsid w:val="00093303"/>
    <w:rsid w:val="00114491"/>
    <w:rsid w:val="001B6BE5"/>
    <w:rsid w:val="001C1856"/>
    <w:rsid w:val="00220251"/>
    <w:rsid w:val="00236CE3"/>
    <w:rsid w:val="0026727F"/>
    <w:rsid w:val="002804DA"/>
    <w:rsid w:val="002F0076"/>
    <w:rsid w:val="00354DBB"/>
    <w:rsid w:val="003E5852"/>
    <w:rsid w:val="00467F0C"/>
    <w:rsid w:val="00470EDB"/>
    <w:rsid w:val="004D30EB"/>
    <w:rsid w:val="004D693C"/>
    <w:rsid w:val="0054079E"/>
    <w:rsid w:val="005467F1"/>
    <w:rsid w:val="00570CB9"/>
    <w:rsid w:val="005C0858"/>
    <w:rsid w:val="00630D44"/>
    <w:rsid w:val="00631DA7"/>
    <w:rsid w:val="0068139D"/>
    <w:rsid w:val="0068718E"/>
    <w:rsid w:val="006B6AB3"/>
    <w:rsid w:val="006C5AD2"/>
    <w:rsid w:val="006E30CD"/>
    <w:rsid w:val="0072715B"/>
    <w:rsid w:val="00763CF3"/>
    <w:rsid w:val="00805AA3"/>
    <w:rsid w:val="0089678B"/>
    <w:rsid w:val="008D0A1A"/>
    <w:rsid w:val="0091274C"/>
    <w:rsid w:val="00916654"/>
    <w:rsid w:val="00A010F3"/>
    <w:rsid w:val="00A2101D"/>
    <w:rsid w:val="00A634E0"/>
    <w:rsid w:val="00AA43A3"/>
    <w:rsid w:val="00B12394"/>
    <w:rsid w:val="00BA2B50"/>
    <w:rsid w:val="00BC5CFB"/>
    <w:rsid w:val="00BE0E5A"/>
    <w:rsid w:val="00C7572C"/>
    <w:rsid w:val="00D11E42"/>
    <w:rsid w:val="00D421E3"/>
    <w:rsid w:val="00DC6B57"/>
    <w:rsid w:val="00E041D5"/>
    <w:rsid w:val="00E1241C"/>
    <w:rsid w:val="00E1755A"/>
    <w:rsid w:val="00EC74CE"/>
    <w:rsid w:val="00EF5958"/>
    <w:rsid w:val="00F02088"/>
    <w:rsid w:val="00F061FB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EB2100-8C1A-4439-A876-AC324B0F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Hall II</dc:creator>
  <cp:lastModifiedBy>Walter Hall II</cp:lastModifiedBy>
  <cp:revision>2</cp:revision>
  <cp:lastPrinted>2014-07-28T18:43:00Z</cp:lastPrinted>
  <dcterms:created xsi:type="dcterms:W3CDTF">2014-07-29T19:46:00Z</dcterms:created>
  <dcterms:modified xsi:type="dcterms:W3CDTF">2014-07-29T19:46:00Z</dcterms:modified>
</cp:coreProperties>
</file>