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7F7CE6B2" w14:textId="7BCEB042">
      <w:pPr>
        <w:pStyle w:val="PostingDate"/>
        <w:rPr>
          <w:sz w:val="16"/>
        </w:rPr>
      </w:pPr>
      <w:r>
        <w:t xml:space="preserve">As of </w:t>
      </w:r>
      <w:r w:rsidR="00104C94">
        <w:t>June 23</w:t>
      </w:r>
      <w:r w:rsidR="00093102">
        <w:t>, 2025</w:t>
      </w:r>
    </w:p>
    <w:p w:rsidR="00B62597" w:rsidRPr="00B62597" w:rsidP="00755096" w14:paraId="75AB49A0" w14:textId="77777777">
      <w:pPr>
        <w:pStyle w:val="MeetingDetails"/>
      </w:pPr>
      <w:r>
        <w:t>Deactivation Enhancement</w:t>
      </w:r>
      <w:r w:rsidR="00747562">
        <w:t>s</w:t>
      </w:r>
      <w:r>
        <w:t xml:space="preserve"> Senior Task Force</w:t>
      </w:r>
      <w:r w:rsidR="00747562">
        <w:t xml:space="preserve"> (DESTF)</w:t>
      </w:r>
    </w:p>
    <w:p w:rsidR="00B62597" w:rsidRPr="00B62597" w:rsidP="00755096" w14:paraId="47346ED8" w14:textId="77777777">
      <w:pPr>
        <w:pStyle w:val="MeetingDetails"/>
      </w:pPr>
      <w:r>
        <w:t>WebEx</w:t>
      </w:r>
    </w:p>
    <w:p w:rsidR="00B62597" w:rsidRPr="00B62597" w:rsidP="00755096" w14:paraId="418D27B7" w14:textId="7CE17EB7">
      <w:pPr>
        <w:pStyle w:val="MeetingDetails"/>
      </w:pPr>
      <w:r>
        <w:t>June 27</w:t>
      </w:r>
      <w:r w:rsidR="002B2F98">
        <w:t xml:space="preserve">, </w:t>
      </w:r>
      <w:r w:rsidR="009B2B7E">
        <w:t>2025</w:t>
      </w:r>
    </w:p>
    <w:p w:rsidR="00B62597" w:rsidRPr="00B62597" w:rsidP="00755096" w14:paraId="5F3969C0" w14:textId="798581F9">
      <w:pPr>
        <w:pStyle w:val="MeetingDetails"/>
        <w:rPr>
          <w:sz w:val="28"/>
          <w:u w:val="single"/>
        </w:rPr>
      </w:pPr>
      <w:r>
        <w:t>9:00 a.m.</w:t>
      </w:r>
      <w:r w:rsidR="00747562">
        <w:t xml:space="preserve"> – </w:t>
      </w:r>
      <w:r>
        <w:t>12</w:t>
      </w:r>
      <w:r w:rsidR="005E5D4F">
        <w:t>:00 p</w:t>
      </w:r>
      <w:r w:rsidR="00755096">
        <w:t>.m.</w:t>
      </w:r>
      <w:r w:rsidR="00010057">
        <w:t xml:space="preserve"> EPT</w:t>
      </w:r>
    </w:p>
    <w:p w:rsidR="00B62597" w:rsidRPr="00B62597" w:rsidP="00B62597" w14:paraId="389AD586" w14:textId="77777777">
      <w:pPr>
        <w:spacing w:after="0" w:line="240" w:lineRule="auto"/>
        <w:rPr>
          <w:rFonts w:ascii="Arial Narrow" w:eastAsia="Times New Roman" w:hAnsi="Arial Narrow" w:cs="Times New Roman"/>
          <w:sz w:val="24"/>
          <w:szCs w:val="20"/>
        </w:rPr>
      </w:pPr>
    </w:p>
    <w:p w:rsidR="00B62597" w:rsidRPr="00B62597" w:rsidP="007C2954" w14:paraId="26FE494D" w14:textId="6FBE7B74">
      <w:pPr>
        <w:pStyle w:val="PrimaryHeading"/>
        <w:rPr>
          <w:caps/>
        </w:rPr>
      </w:pPr>
      <w:bookmarkStart w:id="0" w:name="OLE_LINK5"/>
      <w:bookmarkStart w:id="1" w:name="OLE_LINK3"/>
      <w:r w:rsidRPr="00527104">
        <w:t>Adm</w:t>
      </w:r>
      <w:r w:rsidRPr="007C2954">
        <w:t>inistrati</w:t>
      </w:r>
      <w:r w:rsidR="004F110D">
        <w:t>on (</w:t>
      </w:r>
      <w:r w:rsidR="00104C94">
        <w:t>9</w:t>
      </w:r>
      <w:r w:rsidR="004F110D">
        <w:t>:00-</w:t>
      </w:r>
      <w:r w:rsidR="00104C94">
        <w:t>9</w:t>
      </w:r>
      <w:r w:rsidR="004F110D">
        <w:t>:</w:t>
      </w:r>
      <w:r w:rsidR="0066128F">
        <w:t>15</w:t>
      </w:r>
      <w:r w:rsidRPr="00527104">
        <w:t>)</w:t>
      </w:r>
    </w:p>
    <w:bookmarkEnd w:id="0"/>
    <w:bookmarkEnd w:id="1"/>
    <w:p w:rsidR="002C6057" w:rsidRPr="002C6057" w:rsidP="002C6057" w14:paraId="044EDDBA" w14:textId="4C4D0AF6">
      <w:pPr>
        <w:pStyle w:val="SecondaryHeading-Numbered"/>
        <w:rPr>
          <w:b w:val="0"/>
        </w:rPr>
      </w:pPr>
      <w:r>
        <w:rPr>
          <w:b w:val="0"/>
        </w:rPr>
        <w:t xml:space="preserve">Dave Anders and </w:t>
      </w:r>
      <w:r w:rsidR="00104C94">
        <w:rPr>
          <w:b w:val="0"/>
        </w:rPr>
        <w:t>Shanna Hartung</w:t>
      </w:r>
      <w:r>
        <w:rPr>
          <w:b w:val="0"/>
        </w:rPr>
        <w:t xml:space="preserve"> will provide a welcome, announcements, and review the Antitrust, Code of Conduct and Public Meetings/Media Participation Guidelines.</w:t>
      </w:r>
    </w:p>
    <w:p w:rsidR="00B62597" w:rsidP="00917386" w14:paraId="609CD85F" w14:textId="6A5431C1">
      <w:pPr>
        <w:pStyle w:val="SecondaryHeading-Numbered"/>
        <w:rPr>
          <w:b w:val="0"/>
        </w:rPr>
      </w:pPr>
      <w:r>
        <w:rPr>
          <w:b w:val="0"/>
        </w:rPr>
        <w:t xml:space="preserve">Review and </w:t>
      </w:r>
      <w:r w:rsidRPr="00BC2A7A">
        <w:t>approve</w:t>
      </w:r>
      <w:r>
        <w:rPr>
          <w:b w:val="0"/>
        </w:rPr>
        <w:t xml:space="preserve"> draft minutes from the </w:t>
      </w:r>
      <w:r w:rsidR="00104C94">
        <w:rPr>
          <w:b w:val="0"/>
        </w:rPr>
        <w:t>April 8</w:t>
      </w:r>
      <w:r w:rsidR="002D2FA0">
        <w:rPr>
          <w:b w:val="0"/>
        </w:rPr>
        <w:t>, 2025</w:t>
      </w:r>
      <w:r>
        <w:rPr>
          <w:b w:val="0"/>
        </w:rPr>
        <w:t xml:space="preserve"> DESTF meeting.</w:t>
      </w:r>
    </w:p>
    <w:p w:rsidR="00A0080D" w:rsidP="00917386" w14:paraId="7C25B05D" w14:textId="77777777">
      <w:pPr>
        <w:pStyle w:val="SecondaryHeading-Numbered"/>
        <w:rPr>
          <w:b w:val="0"/>
        </w:rPr>
      </w:pPr>
      <w:r>
        <w:rPr>
          <w:b w:val="0"/>
        </w:rPr>
        <w:t>Dave Anders will review the DESTF work plan.</w:t>
      </w:r>
    </w:p>
    <w:p w:rsidR="001D3B68" w:rsidRPr="00DB29E9" w:rsidP="007C2954" w14:paraId="116F8DE7" w14:textId="3378C2BF">
      <w:pPr>
        <w:pStyle w:val="PrimaryHeading"/>
      </w:pPr>
      <w:r>
        <w:t>Education</w:t>
      </w:r>
      <w:r w:rsidR="004F110D">
        <w:t xml:space="preserve"> (</w:t>
      </w:r>
      <w:r>
        <w:t>9</w:t>
      </w:r>
      <w:r w:rsidR="004F110D">
        <w:t>:</w:t>
      </w:r>
      <w:r w:rsidR="0066128F">
        <w:t>15</w:t>
      </w:r>
      <w:r w:rsidR="004F110D">
        <w:t>-</w:t>
      </w:r>
      <w:r w:rsidR="00D93C14">
        <w:t>11</w:t>
      </w:r>
      <w:r w:rsidR="007B26F5">
        <w:t>:00</w:t>
      </w:r>
      <w:r w:rsidR="00D93C14">
        <w:t>)</w:t>
      </w:r>
    </w:p>
    <w:p w:rsidR="0066128F" w:rsidRPr="00964B3F" w:rsidP="0066128F" w14:paraId="73294101" w14:textId="77777777">
      <w:pPr>
        <w:pStyle w:val="ListSubhead1"/>
      </w:pPr>
      <w:r w:rsidRPr="00964B3F">
        <w:rPr>
          <w:b w:val="0"/>
        </w:rPr>
        <w:t xml:space="preserve">Andrew Levitt will discuss the findings of Brattle’s jurisdictional review of post-retirement reliability solutions. </w:t>
      </w:r>
    </w:p>
    <w:p w:rsidR="000B1587" w:rsidRPr="00520842" w:rsidP="000B1587" w14:paraId="7FA38F69" w14:textId="30C61312">
      <w:pPr>
        <w:pStyle w:val="ListSubhead1"/>
      </w:pPr>
      <w:r>
        <w:rPr>
          <w:b w:val="0"/>
        </w:rPr>
        <w:t>Mike Herman</w:t>
      </w:r>
      <w:r w:rsidR="00964B3F">
        <w:rPr>
          <w:b w:val="0"/>
        </w:rPr>
        <w:t xml:space="preserve"> </w:t>
      </w:r>
      <w:r>
        <w:rPr>
          <w:b w:val="0"/>
        </w:rPr>
        <w:t>will provide education on the current PJM competitive planning process.</w:t>
      </w:r>
    </w:p>
    <w:p w:rsidR="00520842" w:rsidRPr="00964B3F" w:rsidP="000B1587" w14:paraId="2B436F36" w14:textId="1C2853B1">
      <w:pPr>
        <w:pStyle w:val="ListSubhead1"/>
      </w:pPr>
      <w:bookmarkStart w:id="2" w:name="_Hlk201577619"/>
      <w:r>
        <w:rPr>
          <w:b w:val="0"/>
        </w:rPr>
        <w:t>Nebiat Tesfa</w:t>
      </w:r>
      <w:r w:rsidR="00964B3F">
        <w:rPr>
          <w:b w:val="0"/>
        </w:rPr>
        <w:t xml:space="preserve"> </w:t>
      </w:r>
      <w:r>
        <w:rPr>
          <w:b w:val="0"/>
        </w:rPr>
        <w:t xml:space="preserve">will provide education on </w:t>
      </w:r>
      <w:r w:rsidR="00526574">
        <w:rPr>
          <w:b w:val="0"/>
        </w:rPr>
        <w:t xml:space="preserve">PJM’s review of </w:t>
      </w:r>
      <w:r>
        <w:rPr>
          <w:b w:val="0"/>
        </w:rPr>
        <w:t xml:space="preserve">the Telos battery energy storage proposal and </w:t>
      </w:r>
      <w:r w:rsidRPr="00964B3F">
        <w:rPr>
          <w:b w:val="0"/>
        </w:rPr>
        <w:t>Brandon Shores deactivation analysis.</w:t>
      </w:r>
    </w:p>
    <w:bookmarkEnd w:id="2"/>
    <w:p w:rsidR="00964B3F" w:rsidRPr="00964B3F" w:rsidP="00964B3F" w14:paraId="569B8869" w14:textId="2AB5F445">
      <w:pPr>
        <w:pStyle w:val="PrimaryHeading"/>
      </w:pPr>
      <w:r w:rsidRPr="00964B3F">
        <w:t>Consensus-Based Issue Resolution Process (11:00-11:55)</w:t>
      </w:r>
    </w:p>
    <w:p w:rsidR="00861933" w:rsidRPr="00964B3F" w:rsidP="000B1587" w14:paraId="078E9CA7" w14:textId="39E93DCD">
      <w:pPr>
        <w:pStyle w:val="ListSubhead1"/>
      </w:pPr>
      <w:r w:rsidRPr="00964B3F">
        <w:rPr>
          <w:b w:val="0"/>
          <w:bCs/>
        </w:rPr>
        <w:t>Dave Anders will lead a discussion on issue identification.</w:t>
      </w:r>
    </w:p>
    <w:p w:rsidR="00964B3F" w:rsidRPr="00964B3F" w:rsidP="00964B3F" w14:paraId="76E86FC6" w14:textId="234E0E87">
      <w:pPr>
        <w:pStyle w:val="ListSubhead1"/>
      </w:pPr>
      <w:r w:rsidRPr="00964B3F">
        <w:rPr>
          <w:b w:val="0"/>
        </w:rPr>
        <w:t>PJM will present draft</w:t>
      </w:r>
      <w:r w:rsidRPr="00964B3F" w:rsidR="00F47AA4">
        <w:rPr>
          <w:b w:val="0"/>
        </w:rPr>
        <w:t xml:space="preserve"> design components for </w:t>
      </w:r>
      <w:r w:rsidRPr="00964B3F">
        <w:rPr>
          <w:b w:val="0"/>
        </w:rPr>
        <w:t>the potential to accelerate completion of long-term transmission solutions (scope area 4), alternative to Part V arrangements with deactivating generators (scope area 5) and pro forma reliability must run arrangements (scope area 6).</w:t>
      </w:r>
    </w:p>
    <w:p w:rsidR="00747562" w:rsidRPr="00917386" w:rsidP="00747562" w14:paraId="42B8B507" w14:textId="77777777">
      <w:pPr>
        <w:pStyle w:val="SecondaryHeading-Numbered"/>
        <w:numPr>
          <w:ilvl w:val="0"/>
          <w:numId w:val="0"/>
        </w:numPr>
        <w:ind w:left="360"/>
        <w:rPr>
          <w:b w:val="0"/>
        </w:rPr>
      </w:pPr>
      <w:hyperlink r:id="rId4" w:history="1">
        <w:r w:rsidRPr="00747562">
          <w:rPr>
            <w:rStyle w:val="Hyperlink"/>
            <w:b w:val="0"/>
          </w:rPr>
          <w:t>Issue Tracking: Enhancements to Deactivation Rules</w:t>
        </w:r>
      </w:hyperlink>
    </w:p>
    <w:p w:rsidR="00F16EC6" w:rsidP="00D86559" w14:paraId="4305B5C5" w14:textId="77777777">
      <w:pPr>
        <w:pStyle w:val="SecondaryHeading-Numbered"/>
        <w:numPr>
          <w:ilvl w:val="0"/>
          <w:numId w:val="0"/>
        </w:numPr>
        <w:ind w:left="360"/>
        <w:rPr>
          <w:b w:val="0"/>
          <w:szCs w:val="24"/>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2C5BDD4" w14:textId="77777777" w:rsidTr="004018D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4D1B1371" w14:textId="11CD7D2E">
            <w:pPr>
              <w:pStyle w:val="PrimaryHeading"/>
              <w:spacing w:after="0"/>
            </w:pPr>
            <w:r w:rsidRPr="0095194C">
              <w:rPr>
                <w:b/>
              </w:rPr>
              <w:t xml:space="preserve">Future Agenda Items </w:t>
            </w:r>
            <w:r w:rsidR="005A1EA7">
              <w:rPr>
                <w:b/>
              </w:rPr>
              <w:t>(</w:t>
            </w:r>
            <w:r>
              <w:rPr>
                <w:b/>
              </w:rPr>
              <w:t>11</w:t>
            </w:r>
            <w:r w:rsidR="005A1EA7">
              <w:rPr>
                <w:b/>
              </w:rPr>
              <w:t>:55-</w:t>
            </w:r>
            <w:r>
              <w:rPr>
                <w:b/>
              </w:rPr>
              <w:t>12</w:t>
            </w:r>
            <w:r w:rsidR="005A1EA7">
              <w:rPr>
                <w:b/>
              </w:rPr>
              <w:t>:00)</w:t>
            </w:r>
          </w:p>
        </w:tc>
      </w:tr>
      <w:tr w14:paraId="642BEA8D" w14:textId="77777777" w:rsidTr="004018D5">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17103773" w14:textId="77777777">
            <w:pPr>
              <w:pStyle w:val="AttendeesList"/>
            </w:pPr>
          </w:p>
        </w:tc>
      </w:tr>
    </w:tbl>
    <w:p w:rsidR="003C3320" w:rsidP="003C3320" w14:paraId="03D210C6"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890"/>
        <w:gridCol w:w="2520"/>
        <w:gridCol w:w="1816"/>
        <w:gridCol w:w="1529"/>
      </w:tblGrid>
      <w:tr w14:paraId="34D29ACF" w14:textId="77777777" w:rsidTr="004018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CDA1E79"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6CFD7AE"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E92123E"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383AB717" w14:textId="77777777" w:rsidTr="004018D5">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E89B937" w14:textId="77777777">
            <w:pPr>
              <w:pStyle w:val="DisclaimerHeading"/>
              <w:keepLines/>
              <w:spacing w:after="60"/>
              <w:jc w:val="center"/>
              <w:rPr>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493276E" w14:textId="77777777">
            <w:pPr>
              <w:pStyle w:val="DisclaimerHeading"/>
              <w:keepLines/>
              <w:spacing w:after="60"/>
              <w:jc w:val="center"/>
              <w:rPr>
                <w:color w:val="auto"/>
                <w:sz w:val="19"/>
                <w:szCs w:val="19"/>
              </w:rPr>
            </w:pPr>
            <w:r w:rsidRPr="00BB6921">
              <w:rPr>
                <w:color w:val="auto"/>
                <w:sz w:val="19"/>
                <w:szCs w:val="19"/>
              </w:rPr>
              <w:t>Time</w:t>
            </w:r>
          </w:p>
        </w:tc>
        <w:tc>
          <w:tcPr>
            <w:tcW w:w="25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C5C867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4A08050"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C677685" w14:textId="77777777">
            <w:pPr>
              <w:pStyle w:val="DisclaimerHeading"/>
              <w:keepLines/>
              <w:jc w:val="center"/>
              <w:rPr>
                <w:color w:val="FFFFFF" w:themeColor="background1"/>
                <w:sz w:val="19"/>
                <w:szCs w:val="19"/>
              </w:rPr>
            </w:pPr>
          </w:p>
        </w:tc>
      </w:tr>
      <w:tr w14:paraId="7F2438F6" w14:textId="77777777" w:rsidTr="004018D5">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F8EC0FA" w14:textId="77777777">
            <w:pPr>
              <w:pStyle w:val="DisclaimerHeading"/>
              <w:keepLines/>
              <w:spacing w:before="40" w:after="40" w:line="220" w:lineRule="exact"/>
              <w:rPr>
                <w:b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28E0591" w14:textId="77777777">
            <w:pPr>
              <w:pStyle w:val="DisclaimerHeading"/>
              <w:keepLines/>
              <w:spacing w:before="40" w:after="40" w:line="220" w:lineRule="exact"/>
              <w:rPr>
                <w:b w:val="0"/>
                <w:color w:val="auto"/>
                <w:sz w:val="18"/>
                <w:szCs w:val="18"/>
              </w:rPr>
            </w:pPr>
          </w:p>
        </w:tc>
        <w:tc>
          <w:tcPr>
            <w:tcW w:w="2520" w:type="dxa"/>
            <w:vMerge/>
            <w:tcBorders>
              <w:top w:val="single" w:sz="12" w:space="0" w:color="013366" w:themeColor="accent1"/>
              <w:left w:val="single" w:sz="6" w:space="0" w:color="FFFFFF" w:themeColor="background1"/>
              <w:right w:val="single" w:sz="8" w:space="0" w:color="auto"/>
            </w:tcBorders>
          </w:tcPr>
          <w:p w:rsidR="00CE451E" w:rsidRPr="00C10A93" w:rsidP="00CE451E" w14:paraId="7D788834"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140E2EC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E0434FD" w14:textId="77777777" w:rsidTr="004018D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B34880" w:rsidRPr="00BC2A7A" w:rsidP="00B34880" w14:paraId="18C884A9" w14:textId="77777777">
            <w:pPr>
              <w:pStyle w:val="DisclaimerHeading"/>
              <w:keepLines/>
              <w:spacing w:before="40" w:after="40" w:line="220" w:lineRule="exact"/>
              <w:rPr>
                <w:b w:val="0"/>
                <w:color w:val="auto"/>
                <w:sz w:val="18"/>
                <w:szCs w:val="18"/>
              </w:rPr>
            </w:pPr>
            <w:r>
              <w:rPr>
                <w:b w:val="0"/>
                <w:color w:val="auto"/>
                <w:sz w:val="18"/>
                <w:szCs w:val="18"/>
              </w:rPr>
              <w:t>July 15, 2025</w:t>
            </w:r>
          </w:p>
        </w:tc>
        <w:tc>
          <w:tcPr>
            <w:tcW w:w="1890" w:type="dxa"/>
            <w:tcBorders>
              <w:top w:val="single" w:sz="4" w:space="0" w:color="auto"/>
              <w:left w:val="single" w:sz="4" w:space="0" w:color="auto"/>
              <w:bottom w:val="single" w:sz="4" w:space="0" w:color="auto"/>
              <w:right w:val="single" w:sz="4" w:space="0" w:color="auto"/>
            </w:tcBorders>
          </w:tcPr>
          <w:p w:rsidR="00B34880" w:rsidRPr="00BC2A7A" w:rsidP="00CE451E" w14:paraId="5F95F673" w14:textId="77777777">
            <w:pPr>
              <w:pStyle w:val="DisclaimerHeading"/>
              <w:keepLines/>
              <w:spacing w:before="40" w:after="40" w:line="220" w:lineRule="exact"/>
              <w:rPr>
                <w:b w:val="0"/>
                <w:color w:val="auto"/>
                <w:sz w:val="18"/>
                <w:szCs w:val="18"/>
              </w:rPr>
            </w:pPr>
            <w:r>
              <w:rPr>
                <w:b w:val="0"/>
                <w:color w:val="auto"/>
                <w:sz w:val="18"/>
                <w:szCs w:val="18"/>
              </w:rPr>
              <w:t>9:00 a.m. – 4:00 p.m.</w:t>
            </w:r>
          </w:p>
        </w:tc>
        <w:tc>
          <w:tcPr>
            <w:tcW w:w="2520" w:type="dxa"/>
            <w:tcBorders>
              <w:top w:val="single" w:sz="4" w:space="0" w:color="auto"/>
              <w:left w:val="single" w:sz="4" w:space="0" w:color="auto"/>
              <w:bottom w:val="single" w:sz="4" w:space="0" w:color="auto"/>
              <w:right w:val="single" w:sz="4" w:space="0" w:color="auto"/>
            </w:tcBorders>
          </w:tcPr>
          <w:p w:rsidR="00B34880" w:rsidRPr="00BC2A7A" w:rsidP="00BC2A7A" w14:paraId="171C7651" w14:textId="77777777">
            <w:pPr>
              <w:pStyle w:val="DisclaimerHeading"/>
              <w:keepLines/>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B34880" w:rsidP="00BC2A7A" w14:paraId="39F3C16A" w14:textId="77777777">
            <w:pPr>
              <w:pStyle w:val="DisclaimerHeading"/>
              <w:keepLines/>
              <w:spacing w:before="40" w:after="40" w:line="220" w:lineRule="exact"/>
              <w:jc w:val="center"/>
              <w:rPr>
                <w:b w:val="0"/>
                <w:color w:val="auto"/>
                <w:sz w:val="18"/>
                <w:szCs w:val="18"/>
              </w:rPr>
            </w:pPr>
            <w:r>
              <w:rPr>
                <w:b w:val="0"/>
                <w:color w:val="auto"/>
                <w:sz w:val="18"/>
                <w:szCs w:val="18"/>
              </w:rPr>
              <w:t>July 7, 2025</w:t>
            </w:r>
          </w:p>
        </w:tc>
        <w:tc>
          <w:tcPr>
            <w:tcW w:w="1529" w:type="dxa"/>
            <w:tcBorders>
              <w:top w:val="single" w:sz="4" w:space="0" w:color="auto"/>
              <w:left w:val="single" w:sz="4" w:space="0" w:color="auto"/>
              <w:bottom w:val="single" w:sz="4" w:space="0" w:color="auto"/>
              <w:right w:val="single" w:sz="4" w:space="0" w:color="auto"/>
            </w:tcBorders>
          </w:tcPr>
          <w:p w:rsidR="00B34880" w:rsidP="00B34880" w14:paraId="574FDDFE" w14:textId="77777777">
            <w:pPr>
              <w:pStyle w:val="DisclaimerHeading"/>
              <w:keepLines/>
              <w:spacing w:before="40" w:after="40" w:line="220" w:lineRule="exact"/>
              <w:jc w:val="center"/>
              <w:rPr>
                <w:b w:val="0"/>
                <w:color w:val="auto"/>
                <w:sz w:val="18"/>
                <w:szCs w:val="18"/>
              </w:rPr>
            </w:pPr>
            <w:r>
              <w:rPr>
                <w:b w:val="0"/>
                <w:color w:val="auto"/>
                <w:sz w:val="18"/>
                <w:szCs w:val="18"/>
              </w:rPr>
              <w:t>July 10, 2025</w:t>
            </w:r>
          </w:p>
        </w:tc>
      </w:tr>
      <w:tr w14:paraId="4973FA58" w14:textId="77777777" w:rsidTr="004018D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B34880" w:rsidRPr="00BC2A7A" w:rsidP="00B34880" w14:paraId="72718DF9" w14:textId="77777777">
            <w:pPr>
              <w:pStyle w:val="DisclaimerHeading"/>
              <w:keepLines/>
              <w:spacing w:before="40" w:after="40" w:line="220" w:lineRule="exact"/>
              <w:rPr>
                <w:b w:val="0"/>
                <w:color w:val="auto"/>
                <w:sz w:val="18"/>
                <w:szCs w:val="18"/>
              </w:rPr>
            </w:pPr>
            <w:r>
              <w:rPr>
                <w:b w:val="0"/>
                <w:color w:val="auto"/>
                <w:sz w:val="18"/>
                <w:szCs w:val="18"/>
              </w:rPr>
              <w:t>August 12, 2025</w:t>
            </w:r>
          </w:p>
        </w:tc>
        <w:tc>
          <w:tcPr>
            <w:tcW w:w="1890" w:type="dxa"/>
            <w:tcBorders>
              <w:top w:val="single" w:sz="4" w:space="0" w:color="auto"/>
              <w:left w:val="single" w:sz="4" w:space="0" w:color="auto"/>
              <w:bottom w:val="single" w:sz="4" w:space="0" w:color="auto"/>
              <w:right w:val="single" w:sz="4" w:space="0" w:color="auto"/>
            </w:tcBorders>
          </w:tcPr>
          <w:p w:rsidR="00B34880" w:rsidRPr="00BC2A7A" w:rsidP="00CE451E" w14:paraId="09606EEA" w14:textId="77777777">
            <w:pPr>
              <w:pStyle w:val="DisclaimerHeading"/>
              <w:keepLines/>
              <w:spacing w:before="40" w:after="40" w:line="220" w:lineRule="exact"/>
              <w:rPr>
                <w:b w:val="0"/>
                <w:color w:val="auto"/>
                <w:sz w:val="18"/>
                <w:szCs w:val="18"/>
              </w:rPr>
            </w:pPr>
            <w:r>
              <w:rPr>
                <w:b w:val="0"/>
                <w:color w:val="auto"/>
                <w:sz w:val="18"/>
                <w:szCs w:val="18"/>
              </w:rPr>
              <w:t>1:00 p.m. – 4:00 p.m.</w:t>
            </w:r>
          </w:p>
        </w:tc>
        <w:tc>
          <w:tcPr>
            <w:tcW w:w="2520" w:type="dxa"/>
            <w:tcBorders>
              <w:top w:val="single" w:sz="4" w:space="0" w:color="auto"/>
              <w:left w:val="single" w:sz="4" w:space="0" w:color="auto"/>
              <w:bottom w:val="single" w:sz="4" w:space="0" w:color="auto"/>
              <w:right w:val="single" w:sz="4" w:space="0" w:color="auto"/>
            </w:tcBorders>
          </w:tcPr>
          <w:p w:rsidR="00B34880" w:rsidRPr="00BC2A7A" w:rsidP="00BC2A7A" w14:paraId="538BB862" w14:textId="77777777">
            <w:pPr>
              <w:pStyle w:val="DisclaimerHeading"/>
              <w:keepLines/>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B34880" w:rsidP="00BC2A7A" w14:paraId="322D7C57" w14:textId="77777777">
            <w:pPr>
              <w:pStyle w:val="DisclaimerHeading"/>
              <w:keepLines/>
              <w:spacing w:before="40" w:after="40" w:line="220" w:lineRule="exact"/>
              <w:jc w:val="center"/>
              <w:rPr>
                <w:b w:val="0"/>
                <w:color w:val="auto"/>
                <w:sz w:val="18"/>
                <w:szCs w:val="18"/>
              </w:rPr>
            </w:pPr>
            <w:r>
              <w:rPr>
                <w:b w:val="0"/>
                <w:color w:val="auto"/>
                <w:sz w:val="18"/>
                <w:szCs w:val="18"/>
              </w:rPr>
              <w:t>August 4, 2025</w:t>
            </w:r>
          </w:p>
        </w:tc>
        <w:tc>
          <w:tcPr>
            <w:tcW w:w="1529" w:type="dxa"/>
            <w:tcBorders>
              <w:top w:val="single" w:sz="4" w:space="0" w:color="auto"/>
              <w:left w:val="single" w:sz="4" w:space="0" w:color="auto"/>
              <w:bottom w:val="single" w:sz="4" w:space="0" w:color="auto"/>
              <w:right w:val="single" w:sz="4" w:space="0" w:color="auto"/>
            </w:tcBorders>
          </w:tcPr>
          <w:p w:rsidR="00B34880" w:rsidP="00BC2A7A" w14:paraId="1607EF4C" w14:textId="77777777">
            <w:pPr>
              <w:pStyle w:val="DisclaimerHeading"/>
              <w:keepLines/>
              <w:spacing w:before="40" w:after="40" w:line="220" w:lineRule="exact"/>
              <w:jc w:val="center"/>
              <w:rPr>
                <w:b w:val="0"/>
                <w:color w:val="auto"/>
                <w:sz w:val="18"/>
                <w:szCs w:val="18"/>
              </w:rPr>
            </w:pPr>
            <w:r>
              <w:rPr>
                <w:b w:val="0"/>
                <w:color w:val="auto"/>
                <w:sz w:val="18"/>
                <w:szCs w:val="18"/>
              </w:rPr>
              <w:t>August 7, 2025</w:t>
            </w:r>
          </w:p>
        </w:tc>
      </w:tr>
    </w:tbl>
    <w:p w:rsidR="003C3320" w:rsidP="00CE451E" w14:paraId="0157E39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3C3586C" w14:textId="77777777">
      <w:pPr>
        <w:pStyle w:val="Author"/>
      </w:pPr>
    </w:p>
    <w:p w:rsidR="00B62597" w:rsidRPr="00BC2A7A" w:rsidP="00BC2A7A" w14:paraId="1823FA09" w14:textId="51680415">
      <w:pPr>
        <w:rPr>
          <w:rFonts w:ascii="Arial Narrow" w:eastAsia="Times New Roman" w:hAnsi="Arial Narrow" w:cs="Times New Roman"/>
          <w:sz w:val="16"/>
          <w:szCs w:val="16"/>
        </w:rPr>
      </w:pPr>
      <w:r w:rsidRPr="00BC2A7A">
        <w:rPr>
          <w:rFonts w:ascii="Arial Narrow" w:hAnsi="Arial Narrow"/>
          <w:sz w:val="16"/>
          <w:szCs w:val="16"/>
        </w:rPr>
        <w:t xml:space="preserve">Author: </w:t>
      </w:r>
      <w:r w:rsidR="00104C94">
        <w:rPr>
          <w:rFonts w:ascii="Arial Narrow" w:hAnsi="Arial Narrow"/>
          <w:sz w:val="16"/>
          <w:szCs w:val="16"/>
        </w:rPr>
        <w:t>Shanna Hartung</w:t>
      </w:r>
    </w:p>
    <w:p w:rsidR="00B62597" w:rsidRPr="00B62597" w:rsidP="00DB29E9" w14:paraId="0EEFC639" w14:textId="1E71889A">
      <w:pPr>
        <w:pStyle w:val="DisclaimerHeading"/>
      </w:pPr>
      <w:r>
        <w:t>Anti</w:t>
      </w:r>
      <w:r w:rsidRPr="00B62597">
        <w:t>trust:</w:t>
      </w:r>
    </w:p>
    <w:p w:rsidR="00B62597" w:rsidRPr="00B62597" w:rsidP="00491490" w14:paraId="1F94242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13C4696" w14:textId="77777777">
      <w:pPr>
        <w:pStyle w:val="DisclaimerHeading"/>
        <w:spacing w:before="240"/>
      </w:pPr>
      <w:r w:rsidRPr="00B62597">
        <w:t>Code of Conduct:</w:t>
      </w:r>
    </w:p>
    <w:p w:rsidR="004F3D57" w:rsidRPr="00B62597" w:rsidP="004F3D57" w14:paraId="506CAE79"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746E4AD2" w14:textId="77777777">
      <w:pPr>
        <w:pStyle w:val="DisclaimerHeading"/>
        <w:spacing w:before="240"/>
      </w:pPr>
      <w:r w:rsidRPr="00B62597">
        <w:t xml:space="preserve">Public Meetings/Media Participation: </w:t>
      </w:r>
    </w:p>
    <w:p w:rsidR="00DE34CF" w:rsidP="00337321" w14:paraId="4639459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E2F6988" w14:textId="77777777">
      <w:pPr>
        <w:pStyle w:val="DisclaimerHeading"/>
        <w:spacing w:before="240"/>
      </w:pPr>
      <w:r>
        <w:t xml:space="preserve">Participant Identification in </w:t>
      </w:r>
      <w:r w:rsidR="00711249">
        <w:t>Webex</w:t>
      </w:r>
      <w:r>
        <w:t>:</w:t>
      </w:r>
    </w:p>
    <w:p w:rsidR="00027F49" w:rsidP="00027F49" w14:paraId="1BF0385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9AD077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E05299E" w14:textId="77777777">
      <w:pPr>
        <w:pStyle w:val="DisclaimerHeading"/>
        <w:spacing w:before="240"/>
      </w:pPr>
      <w:r w:rsidRPr="00D827A6">
        <w:t>Participant Use of Webex Chat:</w:t>
      </w:r>
    </w:p>
    <w:p w:rsidR="00D827A6" w:rsidP="00D827A6" w14:paraId="171A58C2"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8CBD374" w14:textId="77777777">
      <w:pPr>
        <w:pStyle w:val="DisclaimerBodyCopy"/>
      </w:pPr>
    </w:p>
    <w:p w:rsidR="00027F49" w:rsidP="00027F49" w14:paraId="6E7C0632" w14:textId="77777777">
      <w:pPr>
        <w:pStyle w:val="DisclosureBody"/>
      </w:pPr>
    </w:p>
    <w:p w:rsidR="00027F49" w:rsidP="00027F49" w14:paraId="27068C13"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41387B8F" w14:textId="77777777">
      <w:pPr>
        <w:pStyle w:val="DisclaimerHeading"/>
      </w:pPr>
    </w:p>
    <w:p w:rsidR="00027F49" w:rsidRPr="009C15C4" w:rsidP="00027F49" w14:paraId="2EE901C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3BF7020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3C913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0"/>
      <w:footerReference w:type="even" r:id="rId11"/>
      <w:footerReference w:type="default" r:id="rId12"/>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20493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4A78D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003094D"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27F12">
      <w:rPr>
        <w:rStyle w:val="PageNumber"/>
        <w:noProof/>
      </w:rPr>
      <w:t>2</w:t>
    </w:r>
    <w:r>
      <w:rPr>
        <w:rStyle w:val="PageNumber"/>
      </w:rPr>
      <w:fldChar w:fldCharType="end"/>
    </w:r>
  </w:p>
  <w:bookmarkStart w:id="3" w:name="OLE_LINK1"/>
  <w:p w:rsidR="00B62597" w:rsidRPr="001678E8" w14:paraId="1F88B7C3"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6604F9A1"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353330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8B14FA38"/>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02"/>
    <w:rsid w:val="00010057"/>
    <w:rsid w:val="000232DF"/>
    <w:rsid w:val="00027F49"/>
    <w:rsid w:val="0003040F"/>
    <w:rsid w:val="000333FF"/>
    <w:rsid w:val="000538D7"/>
    <w:rsid w:val="0006798D"/>
    <w:rsid w:val="00092135"/>
    <w:rsid w:val="00093102"/>
    <w:rsid w:val="00096230"/>
    <w:rsid w:val="000B1587"/>
    <w:rsid w:val="000F3A58"/>
    <w:rsid w:val="00104C94"/>
    <w:rsid w:val="00117AF9"/>
    <w:rsid w:val="00121F58"/>
    <w:rsid w:val="001678E8"/>
    <w:rsid w:val="00170E02"/>
    <w:rsid w:val="001B2242"/>
    <w:rsid w:val="001C0CC0"/>
    <w:rsid w:val="001D3B68"/>
    <w:rsid w:val="001D5EB8"/>
    <w:rsid w:val="00200A1B"/>
    <w:rsid w:val="002113BD"/>
    <w:rsid w:val="0025139E"/>
    <w:rsid w:val="002B2CB6"/>
    <w:rsid w:val="002B2F98"/>
    <w:rsid w:val="002C6057"/>
    <w:rsid w:val="002D2FA0"/>
    <w:rsid w:val="002F6131"/>
    <w:rsid w:val="00305238"/>
    <w:rsid w:val="003251CE"/>
    <w:rsid w:val="00337321"/>
    <w:rsid w:val="00394850"/>
    <w:rsid w:val="003B55E1"/>
    <w:rsid w:val="003C17E2"/>
    <w:rsid w:val="003C3320"/>
    <w:rsid w:val="003D7E5C"/>
    <w:rsid w:val="003E7A73"/>
    <w:rsid w:val="003F046E"/>
    <w:rsid w:val="004018D5"/>
    <w:rsid w:val="0046043F"/>
    <w:rsid w:val="00466730"/>
    <w:rsid w:val="00491490"/>
    <w:rsid w:val="00494494"/>
    <w:rsid w:val="004969FA"/>
    <w:rsid w:val="004A34EE"/>
    <w:rsid w:val="004F110D"/>
    <w:rsid w:val="004F3D57"/>
    <w:rsid w:val="00520842"/>
    <w:rsid w:val="00526574"/>
    <w:rsid w:val="00527104"/>
    <w:rsid w:val="005575AB"/>
    <w:rsid w:val="00564DEE"/>
    <w:rsid w:val="0057441E"/>
    <w:rsid w:val="005A1EA7"/>
    <w:rsid w:val="005A5D0D"/>
    <w:rsid w:val="005D6D05"/>
    <w:rsid w:val="005E5D4F"/>
    <w:rsid w:val="006024A0"/>
    <w:rsid w:val="00602967"/>
    <w:rsid w:val="00606F11"/>
    <w:rsid w:val="0066128F"/>
    <w:rsid w:val="00691526"/>
    <w:rsid w:val="006C738F"/>
    <w:rsid w:val="006F7A52"/>
    <w:rsid w:val="00711249"/>
    <w:rsid w:val="00712CAA"/>
    <w:rsid w:val="00716A8B"/>
    <w:rsid w:val="00730F76"/>
    <w:rsid w:val="00744A45"/>
    <w:rsid w:val="00747562"/>
    <w:rsid w:val="0075340F"/>
    <w:rsid w:val="00754C6D"/>
    <w:rsid w:val="00755096"/>
    <w:rsid w:val="007703B4"/>
    <w:rsid w:val="00777623"/>
    <w:rsid w:val="00787322"/>
    <w:rsid w:val="007969EA"/>
    <w:rsid w:val="007A34A3"/>
    <w:rsid w:val="007B1A6D"/>
    <w:rsid w:val="007B26F5"/>
    <w:rsid w:val="007C2954"/>
    <w:rsid w:val="007C5BC5"/>
    <w:rsid w:val="007D4F70"/>
    <w:rsid w:val="007E7CAB"/>
    <w:rsid w:val="00813B57"/>
    <w:rsid w:val="00837B12"/>
    <w:rsid w:val="00841282"/>
    <w:rsid w:val="008552A3"/>
    <w:rsid w:val="00856DF8"/>
    <w:rsid w:val="00861933"/>
    <w:rsid w:val="00882652"/>
    <w:rsid w:val="00894B14"/>
    <w:rsid w:val="008C698E"/>
    <w:rsid w:val="008F2899"/>
    <w:rsid w:val="00911156"/>
    <w:rsid w:val="00914902"/>
    <w:rsid w:val="00917386"/>
    <w:rsid w:val="0095194C"/>
    <w:rsid w:val="00964B3F"/>
    <w:rsid w:val="0097702E"/>
    <w:rsid w:val="0098218E"/>
    <w:rsid w:val="00991528"/>
    <w:rsid w:val="009A5430"/>
    <w:rsid w:val="009B2B7E"/>
    <w:rsid w:val="009C15C4"/>
    <w:rsid w:val="009C7250"/>
    <w:rsid w:val="009D7613"/>
    <w:rsid w:val="009F53F9"/>
    <w:rsid w:val="00A0080D"/>
    <w:rsid w:val="00A05391"/>
    <w:rsid w:val="00A317A9"/>
    <w:rsid w:val="00A36FEA"/>
    <w:rsid w:val="00A41149"/>
    <w:rsid w:val="00A56D57"/>
    <w:rsid w:val="00A86205"/>
    <w:rsid w:val="00A931C3"/>
    <w:rsid w:val="00AC2247"/>
    <w:rsid w:val="00B16D95"/>
    <w:rsid w:val="00B20316"/>
    <w:rsid w:val="00B34880"/>
    <w:rsid w:val="00B34E3C"/>
    <w:rsid w:val="00B42FAE"/>
    <w:rsid w:val="00B62597"/>
    <w:rsid w:val="00BA6146"/>
    <w:rsid w:val="00BB531B"/>
    <w:rsid w:val="00BB6921"/>
    <w:rsid w:val="00BC2A7A"/>
    <w:rsid w:val="00BF331B"/>
    <w:rsid w:val="00C10A93"/>
    <w:rsid w:val="00C131DF"/>
    <w:rsid w:val="00C439EC"/>
    <w:rsid w:val="00C5307B"/>
    <w:rsid w:val="00C72168"/>
    <w:rsid w:val="00C757F4"/>
    <w:rsid w:val="00C75A9D"/>
    <w:rsid w:val="00CA49B9"/>
    <w:rsid w:val="00CB19DE"/>
    <w:rsid w:val="00CB475B"/>
    <w:rsid w:val="00CC1B47"/>
    <w:rsid w:val="00CE233F"/>
    <w:rsid w:val="00CE451E"/>
    <w:rsid w:val="00D06EC8"/>
    <w:rsid w:val="00D136EA"/>
    <w:rsid w:val="00D251ED"/>
    <w:rsid w:val="00D736B1"/>
    <w:rsid w:val="00D827A6"/>
    <w:rsid w:val="00D831E4"/>
    <w:rsid w:val="00D86559"/>
    <w:rsid w:val="00D93C14"/>
    <w:rsid w:val="00D95949"/>
    <w:rsid w:val="00DA23DE"/>
    <w:rsid w:val="00DB29E9"/>
    <w:rsid w:val="00DE34CF"/>
    <w:rsid w:val="00DE77B9"/>
    <w:rsid w:val="00DF1112"/>
    <w:rsid w:val="00E1605D"/>
    <w:rsid w:val="00E27F12"/>
    <w:rsid w:val="00E32B6B"/>
    <w:rsid w:val="00E52B30"/>
    <w:rsid w:val="00E5387A"/>
    <w:rsid w:val="00E55E84"/>
    <w:rsid w:val="00E56A11"/>
    <w:rsid w:val="00E946F8"/>
    <w:rsid w:val="00EB68B0"/>
    <w:rsid w:val="00F16EC6"/>
    <w:rsid w:val="00F4190F"/>
    <w:rsid w:val="00F47AA4"/>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F59DA"/>
  <w15:docId w15:val="{D8B8C80C-35DF-480F-B43F-FE7D0EC5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2e32710d-634b-4925-84bf-1f56a33c7e05"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rkatt\Downloads\Agenda%20(Non%20Operator%20Assisted%20Call)%20(8).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