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A5949" w14:textId="77777777" w:rsidR="00DC4BBE" w:rsidRPr="00DC4BBE" w:rsidRDefault="00DC4BBE">
      <w:pPr>
        <w:pStyle w:val="Heading1"/>
        <w:rPr>
          <w:color w:val="FF0066"/>
        </w:rPr>
      </w:pPr>
      <w:r w:rsidRPr="00DC4BBE">
        <w:rPr>
          <w:color w:val="FF0066"/>
        </w:rPr>
        <w:t>DRAFT</w:t>
      </w:r>
      <w:bookmarkStart w:id="0" w:name="_GoBack"/>
      <w:bookmarkEnd w:id="0"/>
    </w:p>
    <w:p w14:paraId="37103B75" w14:textId="77777777" w:rsidR="00D378A4" w:rsidRDefault="009B74A0" w:rsidP="00D378A4">
      <w:pPr>
        <w:pStyle w:val="Heading3"/>
        <w:rPr>
          <w:color w:val="1F497D"/>
          <w:kern w:val="32"/>
          <w:sz w:val="32"/>
          <w:szCs w:val="32"/>
        </w:rPr>
      </w:pPr>
      <w:r>
        <w:rPr>
          <w:color w:val="1F497D"/>
          <w:kern w:val="32"/>
          <w:sz w:val="32"/>
          <w:szCs w:val="32"/>
        </w:rPr>
        <w:t xml:space="preserve">Capacity Market </w:t>
      </w:r>
      <w:r w:rsidR="005F2711">
        <w:rPr>
          <w:color w:val="1F497D"/>
          <w:kern w:val="32"/>
          <w:sz w:val="32"/>
          <w:szCs w:val="32"/>
        </w:rPr>
        <w:t xml:space="preserve">Reform </w:t>
      </w:r>
    </w:p>
    <w:p w14:paraId="04C5CD9A" w14:textId="77777777" w:rsidR="00184C5F" w:rsidRPr="006F21A2" w:rsidRDefault="00184C5F" w:rsidP="00D378A4">
      <w:pPr>
        <w:pStyle w:val="Heading3"/>
        <w:rPr>
          <w:color w:val="1F497D"/>
          <w:kern w:val="32"/>
          <w:sz w:val="32"/>
          <w:szCs w:val="32"/>
        </w:rPr>
      </w:pPr>
      <w:r>
        <w:t xml:space="preserve">Issue Source </w:t>
      </w:r>
    </w:p>
    <w:p w14:paraId="336D351C" w14:textId="77777777" w:rsidR="00EB47BE" w:rsidRDefault="00EB47BE">
      <w:pPr>
        <w:pStyle w:val="Heading3"/>
      </w:pPr>
      <w:r w:rsidRPr="00EB47BE">
        <w:rPr>
          <w:rFonts w:eastAsia="Calibri"/>
          <w:b w:val="0"/>
          <w:bCs w:val="0"/>
          <w:sz w:val="22"/>
          <w:szCs w:val="22"/>
        </w:rPr>
        <w:t xml:space="preserve">The PJM Board of Managers issued a </w:t>
      </w:r>
      <w:hyperlink r:id="rId8" w:history="1">
        <w:r w:rsidRPr="00EB47BE">
          <w:rPr>
            <w:rFonts w:eastAsia="Calibri"/>
            <w:b w:val="0"/>
            <w:bCs w:val="0"/>
            <w:color w:val="0563C1"/>
            <w:sz w:val="22"/>
            <w:szCs w:val="22"/>
            <w:u w:val="single"/>
          </w:rPr>
          <w:t>letter</w:t>
        </w:r>
      </w:hyperlink>
      <w:r w:rsidRPr="00EB47BE">
        <w:rPr>
          <w:rFonts w:eastAsia="Calibri"/>
          <w:b w:val="0"/>
          <w:bCs w:val="0"/>
          <w:sz w:val="22"/>
          <w:szCs w:val="22"/>
        </w:rPr>
        <w:t xml:space="preserve"> </w:t>
      </w:r>
      <w:r w:rsidR="00F83838">
        <w:rPr>
          <w:rFonts w:eastAsia="Calibri"/>
          <w:b w:val="0"/>
          <w:bCs w:val="0"/>
          <w:sz w:val="22"/>
          <w:szCs w:val="22"/>
        </w:rPr>
        <w:t xml:space="preserve">(Board Letter) </w:t>
      </w:r>
      <w:r w:rsidRPr="00EB47BE">
        <w:rPr>
          <w:rFonts w:eastAsia="Calibri"/>
          <w:b w:val="0"/>
          <w:bCs w:val="0"/>
          <w:sz w:val="22"/>
          <w:szCs w:val="22"/>
        </w:rPr>
        <w:t>on April 6, 2021 urging stakeholders to address a series of topics related to the capacity market</w:t>
      </w:r>
      <w:r w:rsidR="003718D9">
        <w:rPr>
          <w:rFonts w:eastAsia="Calibri"/>
          <w:b w:val="0"/>
          <w:bCs w:val="0"/>
          <w:sz w:val="22"/>
          <w:szCs w:val="22"/>
        </w:rPr>
        <w:t xml:space="preserve">.  </w:t>
      </w:r>
    </w:p>
    <w:p w14:paraId="7F9B346E" w14:textId="77777777" w:rsidR="000130F8" w:rsidRDefault="000130F8">
      <w:pPr>
        <w:pStyle w:val="Heading3"/>
      </w:pPr>
      <w:r>
        <w:t>Issue Content</w:t>
      </w:r>
    </w:p>
    <w:p w14:paraId="0037682F" w14:textId="7B32DA45" w:rsidR="00F83838" w:rsidRDefault="003718D9" w:rsidP="000130F8">
      <w:r w:rsidRPr="003718D9">
        <w:rPr>
          <w:bCs/>
        </w:rPr>
        <w:t>Stakeholders undertook resolution of issues related to the</w:t>
      </w:r>
      <w:r>
        <w:rPr>
          <w:b/>
          <w:bCs/>
        </w:rPr>
        <w:t xml:space="preserve"> </w:t>
      </w:r>
      <w:r w:rsidRPr="00EB47BE">
        <w:t>M</w:t>
      </w:r>
      <w:r>
        <w:t>inimum Offer Price Rule (MOPR)</w:t>
      </w:r>
      <w:r>
        <w:rPr>
          <w:b/>
          <w:bCs/>
        </w:rPr>
        <w:t xml:space="preserve"> </w:t>
      </w:r>
      <w:r w:rsidRPr="003718D9">
        <w:rPr>
          <w:bCs/>
        </w:rPr>
        <w:t>using the</w:t>
      </w:r>
      <w:r>
        <w:rPr>
          <w:b/>
          <w:bCs/>
        </w:rPr>
        <w:t xml:space="preserve"> </w:t>
      </w:r>
      <w:r w:rsidRPr="00EB47BE">
        <w:t xml:space="preserve">Critical Issue Fast Path (CIFP) </w:t>
      </w:r>
      <w:r w:rsidRPr="003718D9">
        <w:rPr>
          <w:bCs/>
        </w:rPr>
        <w:t>process, which culmin</w:t>
      </w:r>
      <w:r>
        <w:rPr>
          <w:bCs/>
        </w:rPr>
        <w:t>ated</w:t>
      </w:r>
      <w:r w:rsidRPr="003718D9">
        <w:rPr>
          <w:bCs/>
        </w:rPr>
        <w:t xml:space="preserve"> in a vote by the Members Committee endorsing a proposal which went </w:t>
      </w:r>
      <w:proofErr w:type="gramStart"/>
      <w:r w:rsidRPr="003718D9">
        <w:rPr>
          <w:bCs/>
        </w:rPr>
        <w:t>into</w:t>
      </w:r>
      <w:proofErr w:type="gramEnd"/>
      <w:r w:rsidRPr="003718D9">
        <w:rPr>
          <w:bCs/>
        </w:rPr>
        <w:t xml:space="preserve"> effect by operation of law effective September 29, 2021.</w:t>
      </w:r>
      <w:r>
        <w:rPr>
          <w:b/>
          <w:bCs/>
        </w:rPr>
        <w:t xml:space="preserve"> </w:t>
      </w:r>
      <w:r w:rsidR="00F83838" w:rsidRPr="00F83838">
        <w:t>This issue charge is intended to address</w:t>
      </w:r>
      <w:r w:rsidR="00F83838">
        <w:t xml:space="preserve"> the</w:t>
      </w:r>
      <w:r>
        <w:t xml:space="preserve"> remaining</w:t>
      </w:r>
      <w:r w:rsidR="00F83838">
        <w:t xml:space="preserve"> </w:t>
      </w:r>
      <w:r w:rsidR="008F46A1">
        <w:t xml:space="preserve">topics identified </w:t>
      </w:r>
      <w:r w:rsidR="000437F2">
        <w:t>in</w:t>
      </w:r>
      <w:r w:rsidR="008F46A1">
        <w:t xml:space="preserve"> the </w:t>
      </w:r>
      <w:r w:rsidR="00F83838">
        <w:t>Board Letter</w:t>
      </w:r>
      <w:r w:rsidR="008F46A1">
        <w:t xml:space="preserve">, as well as </w:t>
      </w:r>
      <w:r w:rsidR="00F83838" w:rsidRPr="00F83838">
        <w:t xml:space="preserve">issues identified as a result of the </w:t>
      </w:r>
      <w:r w:rsidR="00F83838">
        <w:t>Capacity Market</w:t>
      </w:r>
      <w:r w:rsidR="00F83838" w:rsidRPr="00F83838">
        <w:t xml:space="preserve"> Workshops</w:t>
      </w:r>
      <w:r>
        <w:rPr>
          <w:rStyle w:val="FootnoteReference"/>
        </w:rPr>
        <w:footnoteReference w:id="1"/>
      </w:r>
      <w:r w:rsidR="00F83838">
        <w:t>.</w:t>
      </w:r>
    </w:p>
    <w:p w14:paraId="68A48F3D" w14:textId="77777777" w:rsidR="00184C5F" w:rsidRDefault="008F46A1">
      <w:pPr>
        <w:pStyle w:val="Heading3"/>
      </w:pPr>
      <w:r>
        <w:t xml:space="preserve">Scope and </w:t>
      </w:r>
      <w:r w:rsidR="00184C5F">
        <w:t xml:space="preserve">Key Work Activities </w:t>
      </w:r>
    </w:p>
    <w:p w14:paraId="0C1811E6" w14:textId="3A5A4B7E" w:rsidR="00575851" w:rsidRDefault="0092493F" w:rsidP="0092493F">
      <w:r>
        <w:t xml:space="preserve">The scope of work will focus on the list of </w:t>
      </w:r>
      <w:r w:rsidR="008F46A1">
        <w:t xml:space="preserve">the topics identified in the Board letter, as well as the </w:t>
      </w:r>
      <w:r>
        <w:t>issues identified by stakeholders at the Capacity Market Workshops.</w:t>
      </w:r>
      <w:r w:rsidR="008F46A1">
        <w:t xml:space="preserve">  </w:t>
      </w:r>
    </w:p>
    <w:p w14:paraId="1273544A" w14:textId="77777777" w:rsidR="0038157D" w:rsidRDefault="0038157D" w:rsidP="00703718">
      <w:pPr>
        <w:pStyle w:val="ListParagraph"/>
        <w:numPr>
          <w:ilvl w:val="0"/>
          <w:numId w:val="28"/>
        </w:numPr>
      </w:pPr>
      <w:r w:rsidRPr="008B16A7">
        <w:t>Performance Assessments</w:t>
      </w:r>
    </w:p>
    <w:p w14:paraId="6D75430B" w14:textId="77777777" w:rsidR="00906BA6" w:rsidRDefault="00B8762F" w:rsidP="00703718">
      <w:pPr>
        <w:pStyle w:val="ListParagraph"/>
        <w:numPr>
          <w:ilvl w:val="0"/>
          <w:numId w:val="28"/>
        </w:numPr>
      </w:pPr>
      <w:r w:rsidRPr="00B8762F">
        <w:t>Capacity Resource Qualification and Accreditation</w:t>
      </w:r>
    </w:p>
    <w:p w14:paraId="4699E49F" w14:textId="77777777" w:rsidR="004E5D82" w:rsidRDefault="008B16A7" w:rsidP="00703718">
      <w:pPr>
        <w:pStyle w:val="ListParagraph"/>
        <w:numPr>
          <w:ilvl w:val="0"/>
          <w:numId w:val="28"/>
        </w:numPr>
      </w:pPr>
      <w:r w:rsidRPr="008B16A7">
        <w:t>Procurement Level</w:t>
      </w:r>
      <w:r w:rsidR="008238A1">
        <w:t>s</w:t>
      </w:r>
    </w:p>
    <w:p w14:paraId="18E489B2" w14:textId="77777777" w:rsidR="005F5878" w:rsidRDefault="005F5878" w:rsidP="00703718">
      <w:pPr>
        <w:pStyle w:val="ListParagraph"/>
        <w:numPr>
          <w:ilvl w:val="0"/>
          <w:numId w:val="28"/>
        </w:numPr>
      </w:pPr>
      <w:r w:rsidRPr="00B8762F">
        <w:t>Capacity Resource Obligations</w:t>
      </w:r>
      <w:r>
        <w:rPr>
          <w:rStyle w:val="FootnoteReference"/>
        </w:rPr>
        <w:footnoteReference w:id="2"/>
      </w:r>
    </w:p>
    <w:p w14:paraId="128334A7" w14:textId="77777777" w:rsidR="005F5878" w:rsidRDefault="00F74C32" w:rsidP="00703718">
      <w:pPr>
        <w:pStyle w:val="ListParagraph"/>
        <w:numPr>
          <w:ilvl w:val="0"/>
          <w:numId w:val="28"/>
        </w:numPr>
      </w:pPr>
      <w:r>
        <w:t>Supply-Side Market Power Mitigation Rules</w:t>
      </w:r>
    </w:p>
    <w:p w14:paraId="4E87ACFB" w14:textId="77777777" w:rsidR="008B16A7" w:rsidRDefault="004E5D82" w:rsidP="00703718">
      <w:pPr>
        <w:pStyle w:val="ListParagraph"/>
        <w:numPr>
          <w:ilvl w:val="0"/>
          <w:numId w:val="28"/>
        </w:numPr>
      </w:pPr>
      <w:r>
        <w:t>Fixed Resource Requirement Rules</w:t>
      </w:r>
    </w:p>
    <w:p w14:paraId="4603E982" w14:textId="77777777" w:rsidR="00BA0EE4" w:rsidRDefault="005A4543" w:rsidP="00703718">
      <w:pPr>
        <w:pStyle w:val="ListParagraph"/>
        <w:numPr>
          <w:ilvl w:val="0"/>
          <w:numId w:val="28"/>
        </w:numPr>
      </w:pPr>
      <w:r w:rsidRPr="005A4543">
        <w:t>Procurement of Clean Resource Attributes</w:t>
      </w:r>
    </w:p>
    <w:p w14:paraId="1F21EF47" w14:textId="6EE61DF4" w:rsidR="00BA0EE4" w:rsidRDefault="00AC3500" w:rsidP="00774AE9">
      <w:r>
        <w:t xml:space="preserve">While the review at the RASTF will be holistic, the solution for any </w:t>
      </w:r>
      <w:r w:rsidR="000D6E2F">
        <w:t xml:space="preserve">of the above </w:t>
      </w:r>
      <w:r>
        <w:t>topic</w:t>
      </w:r>
      <w:r w:rsidR="000D6E2F">
        <w:t>s</w:t>
      </w:r>
      <w:r w:rsidR="00BA0EE4">
        <w:t xml:space="preserve"> may be advanced to a vote</w:t>
      </w:r>
      <w:r w:rsidR="006D6628">
        <w:t xml:space="preserve"> </w:t>
      </w:r>
      <w:r w:rsidR="00BA0EE4">
        <w:t xml:space="preserve">alone or in conjunction with other </w:t>
      </w:r>
      <w:r>
        <w:t>topics</w:t>
      </w:r>
      <w:r w:rsidR="00BA0EE4">
        <w:t xml:space="preserve"> at the members’ discretion</w:t>
      </w:r>
      <w:r w:rsidR="006D6628">
        <w:rPr>
          <w:rStyle w:val="FootnoteReference"/>
        </w:rPr>
        <w:footnoteReference w:id="3"/>
      </w:r>
      <w:r w:rsidR="00BA0EE4">
        <w:t xml:space="preserve">. Below are listed the estimated relevant dates by which a filing </w:t>
      </w:r>
      <w:r w:rsidR="000F70CE">
        <w:t>may</w:t>
      </w:r>
      <w:r w:rsidR="00BA0EE4">
        <w:t xml:space="preserve"> be </w:t>
      </w:r>
      <w:r w:rsidR="000F70CE">
        <w:t xml:space="preserve">required </w:t>
      </w:r>
      <w:r w:rsidR="00BA0EE4">
        <w:t xml:space="preserve">to implement by </w:t>
      </w:r>
      <w:r>
        <w:t>a</w:t>
      </w:r>
      <w:r w:rsidR="00BA0EE4">
        <w:t xml:space="preserve"> specified auction. </w:t>
      </w:r>
      <w:r w:rsidR="000F70CE">
        <w:t>These dates assume a filing is desired before the start of the pre-auction activities and that</w:t>
      </w:r>
      <w:r>
        <w:t xml:space="preserve"> the</w:t>
      </w:r>
      <w:r w:rsidR="000F70CE">
        <w:t xml:space="preserve"> FERC will act on the filing within 60 days. </w:t>
      </w:r>
      <w:r w:rsidR="00BA0EE4">
        <w:t xml:space="preserve">These dates </w:t>
      </w:r>
      <w:r w:rsidR="00615496">
        <w:t xml:space="preserve">also </w:t>
      </w:r>
      <w:r w:rsidR="00BA0EE4">
        <w:t xml:space="preserve">assume that the technical changes required to implement the solution can be implemented in time for the </w:t>
      </w:r>
      <w:r w:rsidR="00224F14">
        <w:t>specified auction</w:t>
      </w:r>
      <w:r w:rsidR="00615496">
        <w:t xml:space="preserve">, which </w:t>
      </w:r>
      <w:r w:rsidR="000F70CE">
        <w:t>may not be true in all cases.</w:t>
      </w:r>
      <w:r w:rsidR="00916A15">
        <w:t xml:space="preserve"> </w:t>
      </w:r>
    </w:p>
    <w:tbl>
      <w:tblPr>
        <w:tblStyle w:val="GridTable5Dark-Accent1"/>
        <w:tblW w:w="0" w:type="auto"/>
        <w:jc w:val="center"/>
        <w:tblLook w:val="04A0" w:firstRow="1" w:lastRow="0" w:firstColumn="1" w:lastColumn="0" w:noHBand="0" w:noVBand="1"/>
      </w:tblPr>
      <w:tblGrid>
        <w:gridCol w:w="2379"/>
        <w:gridCol w:w="2394"/>
        <w:gridCol w:w="2417"/>
      </w:tblGrid>
      <w:tr w:rsidR="008A3E44" w14:paraId="5ED8084F" w14:textId="77777777" w:rsidTr="00A7075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379" w:type="dxa"/>
            <w:vAlign w:val="center"/>
          </w:tcPr>
          <w:p w14:paraId="73E54278" w14:textId="77777777" w:rsidR="008A3E44" w:rsidRDefault="008A3E44" w:rsidP="00A7075B">
            <w:pPr>
              <w:keepNext/>
              <w:keepLines/>
              <w:spacing w:before="60" w:after="60"/>
              <w:jc w:val="center"/>
            </w:pPr>
            <w:r>
              <w:lastRenderedPageBreak/>
              <w:t>Delivery Year</w:t>
            </w:r>
          </w:p>
        </w:tc>
        <w:tc>
          <w:tcPr>
            <w:tcW w:w="2394" w:type="dxa"/>
            <w:vAlign w:val="center"/>
          </w:tcPr>
          <w:p w14:paraId="3D33E0F7" w14:textId="77777777" w:rsidR="008A3E44" w:rsidRDefault="008A3E44" w:rsidP="00A7075B">
            <w:pPr>
              <w:keepNext/>
              <w:keepLines/>
              <w:spacing w:before="60" w:after="60"/>
              <w:jc w:val="center"/>
              <w:cnfStyle w:val="100000000000" w:firstRow="1" w:lastRow="0" w:firstColumn="0" w:lastColumn="0" w:oddVBand="0" w:evenVBand="0" w:oddHBand="0" w:evenHBand="0" w:firstRowFirstColumn="0" w:firstRowLastColumn="0" w:lastRowFirstColumn="0" w:lastRowLastColumn="0"/>
            </w:pPr>
            <w:r>
              <w:t>Auction Run Date</w:t>
            </w:r>
          </w:p>
        </w:tc>
        <w:tc>
          <w:tcPr>
            <w:tcW w:w="2417" w:type="dxa"/>
            <w:vAlign w:val="center"/>
          </w:tcPr>
          <w:p w14:paraId="0A4A48D0" w14:textId="77777777" w:rsidR="008A3E44" w:rsidRDefault="008A3E44" w:rsidP="00A7075B">
            <w:pPr>
              <w:keepNext/>
              <w:keepLines/>
              <w:spacing w:before="60" w:after="60"/>
              <w:jc w:val="center"/>
              <w:cnfStyle w:val="100000000000" w:firstRow="1" w:lastRow="0" w:firstColumn="0" w:lastColumn="0" w:oddVBand="0" w:evenVBand="0" w:oddHBand="0" w:evenHBand="0" w:firstRowFirstColumn="0" w:firstRowLastColumn="0" w:lastRowFirstColumn="0" w:lastRowLastColumn="0"/>
            </w:pPr>
            <w:r>
              <w:t>Filing Required By</w:t>
            </w:r>
          </w:p>
        </w:tc>
      </w:tr>
      <w:tr w:rsidR="008A3E44" w14:paraId="40756123" w14:textId="77777777" w:rsidTr="00A7075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379" w:type="dxa"/>
            <w:vAlign w:val="center"/>
          </w:tcPr>
          <w:p w14:paraId="20C3BA1C" w14:textId="77777777" w:rsidR="008A3E44" w:rsidRDefault="008A3E44" w:rsidP="00A7075B">
            <w:pPr>
              <w:keepNext/>
              <w:keepLines/>
              <w:spacing w:before="60" w:after="60"/>
              <w:jc w:val="center"/>
            </w:pPr>
            <w:r>
              <w:t>25/26</w:t>
            </w:r>
          </w:p>
        </w:tc>
        <w:tc>
          <w:tcPr>
            <w:tcW w:w="2394" w:type="dxa"/>
            <w:vAlign w:val="center"/>
          </w:tcPr>
          <w:p w14:paraId="0FC77DDF" w14:textId="77777777" w:rsidR="008A3E44" w:rsidRDefault="008A3E44" w:rsidP="00A7075B">
            <w:pPr>
              <w:keepNext/>
              <w:keepLines/>
              <w:spacing w:before="60" w:after="60"/>
              <w:jc w:val="center"/>
              <w:cnfStyle w:val="000000100000" w:firstRow="0" w:lastRow="0" w:firstColumn="0" w:lastColumn="0" w:oddVBand="0" w:evenVBand="0" w:oddHBand="1" w:evenHBand="0" w:firstRowFirstColumn="0" w:firstRowLastColumn="0" w:lastRowFirstColumn="0" w:lastRowLastColumn="0"/>
            </w:pPr>
            <w:r>
              <w:t>January 2023</w:t>
            </w:r>
          </w:p>
        </w:tc>
        <w:tc>
          <w:tcPr>
            <w:tcW w:w="2417" w:type="dxa"/>
            <w:vAlign w:val="center"/>
          </w:tcPr>
          <w:p w14:paraId="7334823D" w14:textId="77777777" w:rsidR="008A3E44" w:rsidRDefault="008A3E44" w:rsidP="00A7075B">
            <w:pPr>
              <w:keepNext/>
              <w:keepLines/>
              <w:spacing w:before="60" w:after="60"/>
              <w:jc w:val="center"/>
              <w:cnfStyle w:val="000000100000" w:firstRow="0" w:lastRow="0" w:firstColumn="0" w:lastColumn="0" w:oddVBand="0" w:evenVBand="0" w:oddHBand="1" w:evenHBand="0" w:firstRowFirstColumn="0" w:firstRowLastColumn="0" w:lastRowFirstColumn="0" w:lastRowLastColumn="0"/>
            </w:pPr>
            <w:r>
              <w:t>May 2022</w:t>
            </w:r>
          </w:p>
        </w:tc>
      </w:tr>
      <w:tr w:rsidR="008A3E44" w14:paraId="2082A405" w14:textId="77777777" w:rsidTr="00A7075B">
        <w:trPr>
          <w:cantSplit/>
          <w:jc w:val="center"/>
        </w:trPr>
        <w:tc>
          <w:tcPr>
            <w:cnfStyle w:val="001000000000" w:firstRow="0" w:lastRow="0" w:firstColumn="1" w:lastColumn="0" w:oddVBand="0" w:evenVBand="0" w:oddHBand="0" w:evenHBand="0" w:firstRowFirstColumn="0" w:firstRowLastColumn="0" w:lastRowFirstColumn="0" w:lastRowLastColumn="0"/>
            <w:tcW w:w="2379" w:type="dxa"/>
            <w:vAlign w:val="center"/>
          </w:tcPr>
          <w:p w14:paraId="721C42AB" w14:textId="77777777" w:rsidR="008A3E44" w:rsidRDefault="008A3E44" w:rsidP="00A7075B">
            <w:pPr>
              <w:keepNext/>
              <w:keepLines/>
              <w:spacing w:before="60" w:after="60"/>
              <w:jc w:val="center"/>
            </w:pPr>
            <w:r>
              <w:t>26/27</w:t>
            </w:r>
          </w:p>
        </w:tc>
        <w:tc>
          <w:tcPr>
            <w:tcW w:w="2394" w:type="dxa"/>
            <w:vAlign w:val="center"/>
          </w:tcPr>
          <w:p w14:paraId="41369AD9" w14:textId="77777777" w:rsidR="008A3E44" w:rsidRDefault="008A3E44" w:rsidP="00A7075B">
            <w:pPr>
              <w:keepNext/>
              <w:keepLines/>
              <w:spacing w:before="60" w:after="60"/>
              <w:jc w:val="center"/>
              <w:cnfStyle w:val="000000000000" w:firstRow="0" w:lastRow="0" w:firstColumn="0" w:lastColumn="0" w:oddVBand="0" w:evenVBand="0" w:oddHBand="0" w:evenHBand="0" w:firstRowFirstColumn="0" w:firstRowLastColumn="0" w:lastRowFirstColumn="0" w:lastRowLastColumn="0"/>
            </w:pPr>
            <w:r>
              <w:t>July 2023</w:t>
            </w:r>
          </w:p>
        </w:tc>
        <w:tc>
          <w:tcPr>
            <w:tcW w:w="2417" w:type="dxa"/>
            <w:vAlign w:val="center"/>
          </w:tcPr>
          <w:p w14:paraId="66DF5311" w14:textId="77777777" w:rsidR="008A3E44" w:rsidRDefault="008A3E44" w:rsidP="00A7075B">
            <w:pPr>
              <w:keepNext/>
              <w:keepLines/>
              <w:spacing w:before="60" w:after="60"/>
              <w:jc w:val="center"/>
              <w:cnfStyle w:val="000000000000" w:firstRow="0" w:lastRow="0" w:firstColumn="0" w:lastColumn="0" w:oddVBand="0" w:evenVBand="0" w:oddHBand="0" w:evenHBand="0" w:firstRowFirstColumn="0" w:firstRowLastColumn="0" w:lastRowFirstColumn="0" w:lastRowLastColumn="0"/>
            </w:pPr>
            <w:r>
              <w:t>October 2022</w:t>
            </w:r>
          </w:p>
        </w:tc>
      </w:tr>
      <w:tr w:rsidR="008A3E44" w14:paraId="2708513F" w14:textId="77777777" w:rsidTr="00A7075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379" w:type="dxa"/>
            <w:vAlign w:val="center"/>
          </w:tcPr>
          <w:p w14:paraId="4EDB1C6C" w14:textId="77777777" w:rsidR="008A3E44" w:rsidRDefault="008A3E44" w:rsidP="00A7075B">
            <w:pPr>
              <w:keepNext/>
              <w:keepLines/>
              <w:spacing w:before="60" w:after="60"/>
              <w:jc w:val="center"/>
            </w:pPr>
            <w:r>
              <w:t>27/28</w:t>
            </w:r>
          </w:p>
        </w:tc>
        <w:tc>
          <w:tcPr>
            <w:tcW w:w="2394" w:type="dxa"/>
            <w:vAlign w:val="center"/>
          </w:tcPr>
          <w:p w14:paraId="46DE3573" w14:textId="77777777" w:rsidR="008A3E44" w:rsidRDefault="008A3E44" w:rsidP="00A7075B">
            <w:pPr>
              <w:keepNext/>
              <w:keepLines/>
              <w:spacing w:before="60" w:after="60"/>
              <w:jc w:val="center"/>
              <w:cnfStyle w:val="000000100000" w:firstRow="0" w:lastRow="0" w:firstColumn="0" w:lastColumn="0" w:oddVBand="0" w:evenVBand="0" w:oddHBand="1" w:evenHBand="0" w:firstRowFirstColumn="0" w:firstRowLastColumn="0" w:lastRowFirstColumn="0" w:lastRowLastColumn="0"/>
            </w:pPr>
            <w:r>
              <w:t>May 2024</w:t>
            </w:r>
          </w:p>
        </w:tc>
        <w:tc>
          <w:tcPr>
            <w:tcW w:w="2417" w:type="dxa"/>
            <w:vAlign w:val="center"/>
          </w:tcPr>
          <w:p w14:paraId="55B54AED" w14:textId="77777777" w:rsidR="008A3E44" w:rsidRDefault="008A3E44" w:rsidP="00A7075B">
            <w:pPr>
              <w:keepNext/>
              <w:keepLines/>
              <w:spacing w:before="60" w:after="60"/>
              <w:jc w:val="center"/>
              <w:cnfStyle w:val="000000100000" w:firstRow="0" w:lastRow="0" w:firstColumn="0" w:lastColumn="0" w:oddVBand="0" w:evenVBand="0" w:oddHBand="1" w:evenHBand="0" w:firstRowFirstColumn="0" w:firstRowLastColumn="0" w:lastRowFirstColumn="0" w:lastRowLastColumn="0"/>
            </w:pPr>
            <w:r>
              <w:t>September 2023</w:t>
            </w:r>
          </w:p>
        </w:tc>
      </w:tr>
      <w:tr w:rsidR="008A3E44" w14:paraId="40EC67F3" w14:textId="77777777" w:rsidTr="00A7075B">
        <w:trPr>
          <w:cantSplit/>
          <w:jc w:val="center"/>
        </w:trPr>
        <w:tc>
          <w:tcPr>
            <w:cnfStyle w:val="001000000000" w:firstRow="0" w:lastRow="0" w:firstColumn="1" w:lastColumn="0" w:oddVBand="0" w:evenVBand="0" w:oddHBand="0" w:evenHBand="0" w:firstRowFirstColumn="0" w:firstRowLastColumn="0" w:lastRowFirstColumn="0" w:lastRowLastColumn="0"/>
            <w:tcW w:w="2379" w:type="dxa"/>
            <w:vAlign w:val="center"/>
          </w:tcPr>
          <w:p w14:paraId="0521ADFD" w14:textId="77777777" w:rsidR="008A3E44" w:rsidRDefault="008A3E44" w:rsidP="00A7075B">
            <w:pPr>
              <w:keepLines/>
              <w:spacing w:before="60" w:after="60"/>
              <w:jc w:val="center"/>
            </w:pPr>
            <w:r>
              <w:t>28/29</w:t>
            </w:r>
          </w:p>
        </w:tc>
        <w:tc>
          <w:tcPr>
            <w:tcW w:w="2394" w:type="dxa"/>
            <w:vAlign w:val="center"/>
          </w:tcPr>
          <w:p w14:paraId="781C7D0D" w14:textId="77777777" w:rsidR="008A3E44" w:rsidRDefault="008A3E44" w:rsidP="00A7075B">
            <w:pPr>
              <w:keepLines/>
              <w:spacing w:before="60" w:after="60"/>
              <w:jc w:val="center"/>
              <w:cnfStyle w:val="000000000000" w:firstRow="0" w:lastRow="0" w:firstColumn="0" w:lastColumn="0" w:oddVBand="0" w:evenVBand="0" w:oddHBand="0" w:evenHBand="0" w:firstRowFirstColumn="0" w:firstRowLastColumn="0" w:lastRowFirstColumn="0" w:lastRowLastColumn="0"/>
            </w:pPr>
            <w:r>
              <w:t>May 2025</w:t>
            </w:r>
          </w:p>
        </w:tc>
        <w:tc>
          <w:tcPr>
            <w:tcW w:w="2417" w:type="dxa"/>
            <w:vAlign w:val="center"/>
          </w:tcPr>
          <w:p w14:paraId="77F65A20" w14:textId="77777777" w:rsidR="008A3E44" w:rsidRDefault="008A3E44" w:rsidP="00A7075B">
            <w:pPr>
              <w:keepLines/>
              <w:spacing w:before="60" w:after="60"/>
              <w:jc w:val="center"/>
              <w:cnfStyle w:val="000000000000" w:firstRow="0" w:lastRow="0" w:firstColumn="0" w:lastColumn="0" w:oddVBand="0" w:evenVBand="0" w:oddHBand="0" w:evenHBand="0" w:firstRowFirstColumn="0" w:firstRowLastColumn="0" w:lastRowFirstColumn="0" w:lastRowLastColumn="0"/>
            </w:pPr>
            <w:r>
              <w:t>September 2024</w:t>
            </w:r>
          </w:p>
        </w:tc>
      </w:tr>
    </w:tbl>
    <w:p w14:paraId="485CA586" w14:textId="77777777" w:rsidR="000F70CE" w:rsidRDefault="000F70CE" w:rsidP="00774AE9"/>
    <w:p w14:paraId="2546F420" w14:textId="632C1979" w:rsidR="002C5A97" w:rsidRDefault="002C5A97" w:rsidP="00A7075B">
      <w:r>
        <w:t>KWAs #1</w:t>
      </w:r>
      <w:r w:rsidR="00B37034">
        <w:t xml:space="preserve"> and #</w:t>
      </w:r>
      <w:r w:rsidR="00864152">
        <w:t>2</w:t>
      </w:r>
      <w:r w:rsidR="00814676">
        <w:t xml:space="preserve"> </w:t>
      </w:r>
      <w:r w:rsidR="00906BA6">
        <w:t xml:space="preserve">comprise Group I and </w:t>
      </w:r>
      <w:r w:rsidR="00814676">
        <w:t>will start in November 2021 and be completed by the end of Q1 2022 or sooner.</w:t>
      </w:r>
      <w:r w:rsidR="00AC3500">
        <w:t xml:space="preserve"> </w:t>
      </w:r>
      <w:r w:rsidR="00AC3500" w:rsidRPr="00774AE9">
        <w:rPr>
          <w:b/>
        </w:rPr>
        <w:t>Deliverables from this set of KWAs include:</w:t>
      </w:r>
    </w:p>
    <w:p w14:paraId="2E103F6D" w14:textId="77777777" w:rsidR="00AC3500" w:rsidRDefault="00AC3500" w:rsidP="0043021D">
      <w:pPr>
        <w:pStyle w:val="ListParagraph"/>
        <w:numPr>
          <w:ilvl w:val="0"/>
          <w:numId w:val="25"/>
        </w:numPr>
      </w:pPr>
      <w:r>
        <w:t>Education and benchmarking materials</w:t>
      </w:r>
      <w:r w:rsidR="00864152">
        <w:t xml:space="preserve"> regarding risk allocation</w:t>
      </w:r>
      <w:r>
        <w:t>.</w:t>
      </w:r>
      <w:r w:rsidR="004D0A75">
        <w:t xml:space="preserve"> </w:t>
      </w:r>
    </w:p>
    <w:p w14:paraId="405DFD3B" w14:textId="350A9E5B" w:rsidR="00AC3500" w:rsidRDefault="00AC3500" w:rsidP="0043021D">
      <w:pPr>
        <w:pStyle w:val="ListParagraph"/>
        <w:numPr>
          <w:ilvl w:val="0"/>
          <w:numId w:val="25"/>
        </w:numPr>
      </w:pPr>
      <w:r>
        <w:t xml:space="preserve">A decision </w:t>
      </w:r>
      <w:r w:rsidR="00615496">
        <w:t xml:space="preserve">on </w:t>
      </w:r>
      <w:r>
        <w:t>whether to proceed with a seasonal or annual market design.</w:t>
      </w:r>
    </w:p>
    <w:p w14:paraId="70C8A8F5" w14:textId="302455FE" w:rsidR="00AC3500" w:rsidRDefault="00AC3500" w:rsidP="0043021D">
      <w:pPr>
        <w:pStyle w:val="ListParagraph"/>
        <w:numPr>
          <w:ilvl w:val="0"/>
          <w:numId w:val="25"/>
        </w:numPr>
      </w:pPr>
      <w:r>
        <w:t xml:space="preserve">A decision </w:t>
      </w:r>
      <w:r w:rsidR="00615496">
        <w:t xml:space="preserve">on </w:t>
      </w:r>
      <w:r>
        <w:t>whether to pursue a solution for clean resource attribute procurement in the energy</w:t>
      </w:r>
      <w:r w:rsidR="00A7075B">
        <w:t xml:space="preserve"> market</w:t>
      </w:r>
      <w:r>
        <w:t>, capacity market</w:t>
      </w:r>
      <w:r w:rsidR="00A7075B">
        <w:t>, both,</w:t>
      </w:r>
      <w:r w:rsidR="0043021D">
        <w:t xml:space="preserve"> </w:t>
      </w:r>
      <w:r>
        <w:t>or other</w:t>
      </w:r>
      <w:r w:rsidR="00615496">
        <w:t xml:space="preserve">, and the appropriate </w:t>
      </w:r>
      <w:r w:rsidR="00A7075B">
        <w:t xml:space="preserve">stakeholder </w:t>
      </w:r>
      <w:r w:rsidR="00615496">
        <w:t>venue to develop that solution</w:t>
      </w:r>
      <w:r>
        <w:t>.</w:t>
      </w:r>
    </w:p>
    <w:p w14:paraId="5D06A7C1" w14:textId="77777777" w:rsidR="00814676" w:rsidRDefault="00814676" w:rsidP="00774AE9">
      <w:pPr>
        <w:pStyle w:val="ListParagraph"/>
      </w:pPr>
    </w:p>
    <w:p w14:paraId="635E6E8E" w14:textId="77777777" w:rsidR="008A3E44" w:rsidRDefault="0084430D" w:rsidP="006B0F37">
      <w:pPr>
        <w:pStyle w:val="ListParagraph"/>
        <w:numPr>
          <w:ilvl w:val="0"/>
          <w:numId w:val="23"/>
        </w:numPr>
      </w:pPr>
      <w:r>
        <w:t>KWA#1</w:t>
      </w:r>
      <w:r w:rsidR="008A3E44">
        <w:t xml:space="preserve">: </w:t>
      </w:r>
      <w:r w:rsidR="002C5A97">
        <w:t>Determine whether to proceed with an annual or seasonal resource adequacy design</w:t>
      </w:r>
    </w:p>
    <w:p w14:paraId="38C41674" w14:textId="77777777" w:rsidR="0084430D" w:rsidRDefault="0084430D" w:rsidP="006B0F37">
      <w:pPr>
        <w:pStyle w:val="ListParagraph"/>
        <w:numPr>
          <w:ilvl w:val="1"/>
          <w:numId w:val="23"/>
        </w:numPr>
      </w:pPr>
      <w:r>
        <w:t>Provide education on</w:t>
      </w:r>
      <w:r w:rsidRPr="006869F0">
        <w:t xml:space="preserve"> the risks included in PJM’s </w:t>
      </w:r>
      <w:r>
        <w:t>resource adequacy planning models.</w:t>
      </w:r>
    </w:p>
    <w:p w14:paraId="559E23F3" w14:textId="77777777" w:rsidR="0084430D" w:rsidRDefault="0084430D" w:rsidP="006B0F37">
      <w:pPr>
        <w:pStyle w:val="ListParagraph"/>
        <w:numPr>
          <w:ilvl w:val="1"/>
          <w:numId w:val="23"/>
        </w:numPr>
      </w:pPr>
      <w:r>
        <w:t>Discuss additional risks that should be considered or existing ones that should be considered differently.</w:t>
      </w:r>
    </w:p>
    <w:p w14:paraId="2ED609E1" w14:textId="77777777" w:rsidR="0084430D" w:rsidRDefault="0084430D" w:rsidP="006B0F37">
      <w:pPr>
        <w:pStyle w:val="ListParagraph"/>
        <w:numPr>
          <w:ilvl w:val="1"/>
          <w:numId w:val="23"/>
        </w:numPr>
      </w:pPr>
      <w:r>
        <w:t>Review analysis regarding the impact of seasonal differences on various reliability metrics.</w:t>
      </w:r>
    </w:p>
    <w:p w14:paraId="6445C617" w14:textId="77777777" w:rsidR="0084430D" w:rsidRDefault="0084430D" w:rsidP="006B0F37">
      <w:pPr>
        <w:pStyle w:val="ListParagraph"/>
        <w:numPr>
          <w:ilvl w:val="1"/>
          <w:numId w:val="23"/>
        </w:numPr>
      </w:pPr>
      <w:r>
        <w:t>Solicit stakeholders for additional education needs and provide further education.</w:t>
      </w:r>
    </w:p>
    <w:p w14:paraId="63CD59E3" w14:textId="77777777" w:rsidR="008A3E44" w:rsidRDefault="008A3E44" w:rsidP="006B0F37">
      <w:pPr>
        <w:pStyle w:val="ListParagraph"/>
        <w:numPr>
          <w:ilvl w:val="1"/>
          <w:numId w:val="23"/>
        </w:numPr>
      </w:pPr>
      <w:r>
        <w:t>PJM will provide its perspective on which scope areas are impacted by the selection of a s</w:t>
      </w:r>
      <w:r w:rsidR="00CA62E8">
        <w:t>easonal or annual market design and why.</w:t>
      </w:r>
    </w:p>
    <w:p w14:paraId="57FE4B21" w14:textId="77777777" w:rsidR="00CA62E8" w:rsidRDefault="00CA62E8" w:rsidP="006B0F37">
      <w:pPr>
        <w:pStyle w:val="ListParagraph"/>
        <w:numPr>
          <w:ilvl w:val="1"/>
          <w:numId w:val="23"/>
        </w:numPr>
      </w:pPr>
      <w:r>
        <w:t>Discuss the benefits and drawbacks of a seasonal versus annual capacity market design.</w:t>
      </w:r>
    </w:p>
    <w:p w14:paraId="51951FE2" w14:textId="77777777" w:rsidR="00CA62E8" w:rsidRDefault="00AC3500" w:rsidP="006B0F37">
      <w:pPr>
        <w:pStyle w:val="ListParagraph"/>
        <w:numPr>
          <w:ilvl w:val="1"/>
          <w:numId w:val="23"/>
        </w:numPr>
      </w:pPr>
      <w:r>
        <w:t>Decide</w:t>
      </w:r>
      <w:r w:rsidR="00CA62E8">
        <w:t xml:space="preserve"> whether to proceed with a seasonal or annual capacity market design by </w:t>
      </w:r>
      <w:r w:rsidR="002C5A97">
        <w:t xml:space="preserve">the end of </w:t>
      </w:r>
      <w:r w:rsidR="00CA62E8">
        <w:t>Q1 2022.</w:t>
      </w:r>
    </w:p>
    <w:p w14:paraId="60F4F458" w14:textId="77777777" w:rsidR="00CA62E8" w:rsidRDefault="00CA62E8" w:rsidP="006B0F37">
      <w:pPr>
        <w:pStyle w:val="ListParagraph"/>
        <w:ind w:left="1080"/>
      </w:pPr>
    </w:p>
    <w:p w14:paraId="304ECC9B" w14:textId="77777777" w:rsidR="00CA62E8" w:rsidRDefault="009A1799" w:rsidP="006B0F37">
      <w:pPr>
        <w:pStyle w:val="ListParagraph"/>
        <w:numPr>
          <w:ilvl w:val="0"/>
          <w:numId w:val="23"/>
        </w:numPr>
      </w:pPr>
      <w:r>
        <w:t>KWA#2</w:t>
      </w:r>
      <w:r w:rsidR="00CA62E8">
        <w:t>: Determine whether a forward procurement of clean resource attributes should be pursued and a general product definition</w:t>
      </w:r>
    </w:p>
    <w:p w14:paraId="5A0C1AB8" w14:textId="77777777" w:rsidR="00CA62E8" w:rsidRDefault="00CA62E8" w:rsidP="006B0F37">
      <w:pPr>
        <w:pStyle w:val="ListParagraph"/>
        <w:numPr>
          <w:ilvl w:val="1"/>
          <w:numId w:val="23"/>
        </w:numPr>
      </w:pPr>
      <w:r>
        <w:t>Discuss the benefits and drawbacks of a forward procurement of clean resource attributes.</w:t>
      </w:r>
    </w:p>
    <w:p w14:paraId="1D69D877" w14:textId="77777777" w:rsidR="0038157D" w:rsidRDefault="0038157D" w:rsidP="006B0F37">
      <w:pPr>
        <w:pStyle w:val="ListParagraph"/>
        <w:numPr>
          <w:ilvl w:val="1"/>
          <w:numId w:val="23"/>
        </w:numPr>
      </w:pPr>
      <w:r>
        <w:t xml:space="preserve">PJM and stakeholders present different high-level solution options for consideration. </w:t>
      </w:r>
    </w:p>
    <w:p w14:paraId="00A21BFC" w14:textId="7F5B4F6E" w:rsidR="007450A2" w:rsidRDefault="00AC3500" w:rsidP="00946849">
      <w:pPr>
        <w:pStyle w:val="ListParagraph"/>
        <w:numPr>
          <w:ilvl w:val="1"/>
          <w:numId w:val="23"/>
        </w:numPr>
      </w:pPr>
      <w:r>
        <w:t>Decide</w:t>
      </w:r>
      <w:r w:rsidR="00CA62E8">
        <w:t xml:space="preserve"> whether the desired product is aligned with the capacity market, energy market, both or other</w:t>
      </w:r>
      <w:r w:rsidR="00906BA6">
        <w:t xml:space="preserve">, and determine the appropriate </w:t>
      </w:r>
      <w:r w:rsidR="00D94ABE">
        <w:t xml:space="preserve">stakeholder </w:t>
      </w:r>
      <w:r w:rsidR="00906BA6">
        <w:t>venue to develop a detailed design given the high-level product determination,</w:t>
      </w:r>
      <w:r w:rsidR="00CA62E8">
        <w:t xml:space="preserve"> </w:t>
      </w:r>
      <w:r w:rsidR="002C5A97">
        <w:t xml:space="preserve">by the end of </w:t>
      </w:r>
      <w:r w:rsidR="00CA62E8">
        <w:t>Q1 2022</w:t>
      </w:r>
      <w:r w:rsidR="009E01E5">
        <w:rPr>
          <w:rStyle w:val="FootnoteReference"/>
        </w:rPr>
        <w:footnoteReference w:id="4"/>
      </w:r>
      <w:r w:rsidR="00CA62E8">
        <w:t>.</w:t>
      </w:r>
    </w:p>
    <w:p w14:paraId="2B95BC68" w14:textId="08846717" w:rsidR="00DB1340" w:rsidRDefault="007450A2" w:rsidP="006B0F37">
      <w:pPr>
        <w:pStyle w:val="ListParagraph"/>
        <w:ind w:left="1800"/>
      </w:pPr>
      <w:r w:rsidDel="007450A2">
        <w:t xml:space="preserve"> </w:t>
      </w:r>
    </w:p>
    <w:p w14:paraId="2A69BBFF" w14:textId="69F71459" w:rsidR="00814676" w:rsidRDefault="00864152" w:rsidP="00946849">
      <w:r>
        <w:t xml:space="preserve">The </w:t>
      </w:r>
      <w:r w:rsidR="00906BA6">
        <w:t xml:space="preserve">remaining </w:t>
      </w:r>
      <w:r>
        <w:t>KWAs</w:t>
      </w:r>
      <w:r w:rsidR="00906BA6">
        <w:t xml:space="preserve"> comprise Group II and</w:t>
      </w:r>
      <w:r w:rsidR="00814676">
        <w:t xml:space="preserve"> will begin upon completion of </w:t>
      </w:r>
      <w:r w:rsidR="00906BA6">
        <w:t>Group I</w:t>
      </w:r>
      <w:r w:rsidR="0038157D">
        <w:t xml:space="preserve"> (</w:t>
      </w:r>
      <w:r w:rsidR="00906BA6">
        <w:t xml:space="preserve">certain </w:t>
      </w:r>
      <w:r w:rsidR="0038157D">
        <w:t xml:space="preserve">education </w:t>
      </w:r>
      <w:r w:rsidR="00906BA6">
        <w:t xml:space="preserve">components </w:t>
      </w:r>
      <w:r w:rsidR="0038157D">
        <w:t xml:space="preserve">could also be done concurrently with </w:t>
      </w:r>
      <w:r w:rsidR="00906BA6">
        <w:t>Group I</w:t>
      </w:r>
      <w:r w:rsidR="0038157D">
        <w:t>)</w:t>
      </w:r>
      <w:r w:rsidR="00814676">
        <w:t>.</w:t>
      </w:r>
      <w:r w:rsidR="0038157D">
        <w:t xml:space="preserve"> Further education and detailed design discussion on these topics will be done considering the results of </w:t>
      </w:r>
      <w:r>
        <w:t>KWAs</w:t>
      </w:r>
      <w:r w:rsidR="00906BA6">
        <w:t xml:space="preserve"> </w:t>
      </w:r>
      <w:r>
        <w:t>#1</w:t>
      </w:r>
      <w:r w:rsidR="00B37034">
        <w:t xml:space="preserve"> and #</w:t>
      </w:r>
      <w:r>
        <w:t>2.</w:t>
      </w:r>
      <w:r w:rsidR="004D0A75">
        <w:t xml:space="preserve"> Where applicable, education will include benchmarking with other ISO/RTOs.</w:t>
      </w:r>
    </w:p>
    <w:p w14:paraId="355DF3CA" w14:textId="77777777" w:rsidR="0038157D" w:rsidRDefault="0038157D" w:rsidP="00774AE9">
      <w:pPr>
        <w:pStyle w:val="ListParagraph"/>
      </w:pPr>
    </w:p>
    <w:p w14:paraId="705E512A" w14:textId="77777777" w:rsidR="00E114AB" w:rsidRDefault="00E114AB" w:rsidP="00703718">
      <w:pPr>
        <w:pStyle w:val="ListParagraph"/>
        <w:numPr>
          <w:ilvl w:val="0"/>
          <w:numId w:val="23"/>
        </w:numPr>
      </w:pPr>
      <w:r>
        <w:t xml:space="preserve">KWA#3: Determine the </w:t>
      </w:r>
      <w:r w:rsidR="0076529A">
        <w:t xml:space="preserve">types of reliability </w:t>
      </w:r>
      <w:r>
        <w:t xml:space="preserve">risks </w:t>
      </w:r>
      <w:r w:rsidR="0076529A">
        <w:t xml:space="preserve">and risk drivers </w:t>
      </w:r>
      <w:r>
        <w:t>to be considered by the capacity market and how they should be accounted for.</w:t>
      </w:r>
    </w:p>
    <w:p w14:paraId="6D5CAEB8" w14:textId="77777777" w:rsidR="00E114AB" w:rsidRDefault="00E114AB" w:rsidP="00703718">
      <w:pPr>
        <w:pStyle w:val="ListParagraph"/>
        <w:numPr>
          <w:ilvl w:val="1"/>
          <w:numId w:val="23"/>
        </w:numPr>
      </w:pPr>
      <w:r>
        <w:t>Provide a brief refresh of the education on current risks considered in PJM’s resource adequacy planning</w:t>
      </w:r>
      <w:r w:rsidR="00DB1340">
        <w:t xml:space="preserve"> and where they are accounted for</w:t>
      </w:r>
      <w:r>
        <w:t>.</w:t>
      </w:r>
    </w:p>
    <w:p w14:paraId="17A7A96E" w14:textId="77777777" w:rsidR="00E114AB" w:rsidRDefault="00E114AB" w:rsidP="00703718">
      <w:pPr>
        <w:pStyle w:val="ListParagraph"/>
        <w:numPr>
          <w:ilvl w:val="1"/>
          <w:numId w:val="23"/>
        </w:numPr>
      </w:pPr>
      <w:r>
        <w:t xml:space="preserve">Discuss additional risks that should be considered </w:t>
      </w:r>
      <w:r w:rsidR="00DB1340">
        <w:t xml:space="preserve">and how, </w:t>
      </w:r>
      <w:r>
        <w:t>or</w:t>
      </w:r>
      <w:r w:rsidR="00DB1340">
        <w:t>,</w:t>
      </w:r>
      <w:r>
        <w:t xml:space="preserve"> existing ones that should be considered differently.</w:t>
      </w:r>
    </w:p>
    <w:p w14:paraId="161B99AF" w14:textId="2115D91E" w:rsidR="00E114AB" w:rsidRDefault="008238A1" w:rsidP="00703718">
      <w:pPr>
        <w:pStyle w:val="ListParagraph"/>
        <w:numPr>
          <w:ilvl w:val="1"/>
          <w:numId w:val="23"/>
        </w:numPr>
      </w:pPr>
      <w:r>
        <w:t>Determine the set of risks to be considered in the capacity market and where they should be accounted for (i.e., capacity target level or accreditation level)</w:t>
      </w:r>
    </w:p>
    <w:p w14:paraId="5E370B92" w14:textId="56D760C2" w:rsidR="00ED53FD" w:rsidRDefault="0036033C" w:rsidP="00703718">
      <w:pPr>
        <w:pStyle w:val="ListParagraph"/>
        <w:numPr>
          <w:ilvl w:val="1"/>
          <w:numId w:val="23"/>
        </w:numPr>
      </w:pPr>
      <w:r>
        <w:t xml:space="preserve">Develop </w:t>
      </w:r>
      <w:r w:rsidR="000D6E2F">
        <w:t xml:space="preserve">proposal </w:t>
      </w:r>
      <w:r>
        <w:t xml:space="preserve">package(s) for vote as appropriate based on the above analysis. </w:t>
      </w:r>
    </w:p>
    <w:p w14:paraId="3BE3954F" w14:textId="77777777" w:rsidR="00E114AB" w:rsidRDefault="00E114AB" w:rsidP="00703718">
      <w:pPr>
        <w:pStyle w:val="ListParagraph"/>
        <w:ind w:left="1080"/>
      </w:pPr>
    </w:p>
    <w:p w14:paraId="24E3BD29" w14:textId="77777777" w:rsidR="00814676" w:rsidRDefault="0038157D" w:rsidP="00703718">
      <w:pPr>
        <w:pStyle w:val="ListParagraph"/>
        <w:numPr>
          <w:ilvl w:val="0"/>
          <w:numId w:val="23"/>
        </w:numPr>
      </w:pPr>
      <w:r>
        <w:t>KWA#</w:t>
      </w:r>
      <w:r w:rsidR="00E114AB">
        <w:t>4</w:t>
      </w:r>
      <w:r>
        <w:t xml:space="preserve">: </w:t>
      </w:r>
      <w:r w:rsidR="00864152">
        <w:t>Determine the performance expected from a capacity resource.</w:t>
      </w:r>
    </w:p>
    <w:p w14:paraId="4FDC8FFB" w14:textId="77777777" w:rsidR="00864152" w:rsidRDefault="00864152" w:rsidP="00703718">
      <w:pPr>
        <w:pStyle w:val="ListParagraph"/>
        <w:numPr>
          <w:ilvl w:val="1"/>
          <w:numId w:val="23"/>
        </w:numPr>
      </w:pPr>
      <w:r>
        <w:t>Provide education on the current performance requirements of a capacity resource.</w:t>
      </w:r>
    </w:p>
    <w:p w14:paraId="5B8C71F7" w14:textId="2704730A" w:rsidR="00864152" w:rsidRDefault="00864152" w:rsidP="00703718">
      <w:pPr>
        <w:pStyle w:val="ListParagraph"/>
        <w:numPr>
          <w:ilvl w:val="1"/>
          <w:numId w:val="23"/>
        </w:numPr>
      </w:pPr>
      <w:r>
        <w:t>Examine the key elements of performance assessments under the C</w:t>
      </w:r>
      <w:r w:rsidR="00742231">
        <w:t xml:space="preserve">apacity </w:t>
      </w:r>
      <w:r>
        <w:t>P</w:t>
      </w:r>
      <w:r w:rsidR="00742231">
        <w:t>erformance (CP)</w:t>
      </w:r>
      <w:r>
        <w:t xml:space="preserve"> framework including triggers of Performance Assessment Intervals (PAIs), excusals for non-performance, penalty / bonus rates, and stop-loss provisions for effectiveness in incenting the investment and performance needed for reliability.</w:t>
      </w:r>
    </w:p>
    <w:p w14:paraId="35FCEC25" w14:textId="77777777" w:rsidR="00864152" w:rsidRDefault="00864152" w:rsidP="00703718">
      <w:pPr>
        <w:pStyle w:val="ListParagraph"/>
        <w:numPr>
          <w:ilvl w:val="1"/>
          <w:numId w:val="23"/>
        </w:numPr>
      </w:pPr>
      <w:r>
        <w:t>Explore opportunities to provide more transparency and predictability in performance expectations.</w:t>
      </w:r>
    </w:p>
    <w:p w14:paraId="42FC11FF" w14:textId="6DF8B316" w:rsidR="00864152" w:rsidRDefault="00864152" w:rsidP="00703718">
      <w:pPr>
        <w:pStyle w:val="ListParagraph"/>
        <w:numPr>
          <w:ilvl w:val="1"/>
          <w:numId w:val="23"/>
        </w:numPr>
      </w:pPr>
      <w:r>
        <w:t>Discuss what, if any, alternative frameworks for performance should be considered and the potential benefits and drawbacks of such framework against the current design.</w:t>
      </w:r>
    </w:p>
    <w:p w14:paraId="1EE48EE4" w14:textId="24540122" w:rsidR="0036033C" w:rsidRDefault="0036033C" w:rsidP="0036033C">
      <w:pPr>
        <w:pStyle w:val="ListParagraph"/>
        <w:numPr>
          <w:ilvl w:val="1"/>
          <w:numId w:val="23"/>
        </w:numPr>
      </w:pPr>
      <w:r>
        <w:t xml:space="preserve">Develop </w:t>
      </w:r>
      <w:r w:rsidR="000D6E2F">
        <w:t xml:space="preserve">proposal </w:t>
      </w:r>
      <w:r>
        <w:t xml:space="preserve">package(s) for vote as appropriate based on the above analysis. </w:t>
      </w:r>
    </w:p>
    <w:p w14:paraId="78FB3A51" w14:textId="77777777" w:rsidR="0036033C" w:rsidRDefault="0036033C" w:rsidP="006B0F37">
      <w:pPr>
        <w:pStyle w:val="ListParagraph"/>
        <w:ind w:left="1440"/>
      </w:pPr>
    </w:p>
    <w:p w14:paraId="5B4B3336" w14:textId="77777777" w:rsidR="00864152" w:rsidRDefault="00864152" w:rsidP="00703718">
      <w:pPr>
        <w:pStyle w:val="ListParagraph"/>
        <w:ind w:left="1800"/>
      </w:pPr>
    </w:p>
    <w:p w14:paraId="6EF874B5" w14:textId="77777777" w:rsidR="00864152" w:rsidRDefault="00864152" w:rsidP="00703718">
      <w:pPr>
        <w:pStyle w:val="ListParagraph"/>
        <w:numPr>
          <w:ilvl w:val="0"/>
          <w:numId w:val="23"/>
        </w:numPr>
      </w:pPr>
      <w:r>
        <w:t>KWA#</w:t>
      </w:r>
      <w:r w:rsidR="00E114AB">
        <w:t>5</w:t>
      </w:r>
      <w:r>
        <w:t>: Determine the qualification and accreditation of capacity resources.</w:t>
      </w:r>
    </w:p>
    <w:p w14:paraId="4CA238A4" w14:textId="77777777" w:rsidR="00864152" w:rsidRDefault="00864152" w:rsidP="00703718">
      <w:pPr>
        <w:pStyle w:val="ListParagraph"/>
        <w:numPr>
          <w:ilvl w:val="1"/>
          <w:numId w:val="23"/>
        </w:numPr>
      </w:pPr>
      <w:r>
        <w:t>Provide education on the current qualification requirements and accreditation calculations for capacity resources.</w:t>
      </w:r>
    </w:p>
    <w:p w14:paraId="0663D335" w14:textId="1AE97A80" w:rsidR="008238A1" w:rsidRDefault="00E114AB" w:rsidP="00703718">
      <w:pPr>
        <w:pStyle w:val="ListParagraph"/>
        <w:numPr>
          <w:ilvl w:val="1"/>
          <w:numId w:val="23"/>
        </w:numPr>
      </w:pPr>
      <w:r>
        <w:t xml:space="preserve">Based on the risks determined in KWA#3 and the performance </w:t>
      </w:r>
      <w:r w:rsidR="00043D30">
        <w:t xml:space="preserve">expectations determined </w:t>
      </w:r>
      <w:r>
        <w:t>in KWA#</w:t>
      </w:r>
      <w:r w:rsidR="008238A1">
        <w:t>4:</w:t>
      </w:r>
      <w:r>
        <w:t xml:space="preserve"> </w:t>
      </w:r>
    </w:p>
    <w:p w14:paraId="3EAA53BF" w14:textId="77777777" w:rsidR="00864152" w:rsidRDefault="008238A1" w:rsidP="00703718">
      <w:pPr>
        <w:pStyle w:val="ListParagraph"/>
        <w:numPr>
          <w:ilvl w:val="2"/>
          <w:numId w:val="23"/>
        </w:numPr>
      </w:pPr>
      <w:r>
        <w:t>D</w:t>
      </w:r>
      <w:r w:rsidR="00E114AB">
        <w:t xml:space="preserve">iscuss </w:t>
      </w:r>
      <w:r>
        <w:t>the appropriate metric to accredit capacity resources and how it should be calculated if applicable. Relevant metrics include</w:t>
      </w:r>
      <w:r w:rsidR="00E114AB">
        <w:t xml:space="preserve"> but </w:t>
      </w:r>
      <w:r>
        <w:t xml:space="preserve">are </w:t>
      </w:r>
      <w:r w:rsidR="00E114AB">
        <w:t>not limited to:</w:t>
      </w:r>
    </w:p>
    <w:p w14:paraId="275BA8C5" w14:textId="5D202FA6" w:rsidR="008238A1" w:rsidRDefault="008238A1" w:rsidP="00703718">
      <w:pPr>
        <w:pStyle w:val="ListParagraph"/>
        <w:numPr>
          <w:ilvl w:val="3"/>
          <w:numId w:val="23"/>
        </w:numPr>
      </w:pPr>
      <w:r>
        <w:t>Equivalent</w:t>
      </w:r>
      <w:r w:rsidR="00774AE9">
        <w:t xml:space="preserve"> Demand</w:t>
      </w:r>
      <w:r>
        <w:t xml:space="preserve"> Forced Outage Rate (</w:t>
      </w:r>
      <w:proofErr w:type="spellStart"/>
      <w:r>
        <w:t>EFORd</w:t>
      </w:r>
      <w:proofErr w:type="spellEnd"/>
      <w:r>
        <w:t>)</w:t>
      </w:r>
    </w:p>
    <w:p w14:paraId="02665401" w14:textId="77777777" w:rsidR="00E114AB" w:rsidRDefault="00E114AB" w:rsidP="00703718">
      <w:pPr>
        <w:pStyle w:val="ListParagraph"/>
        <w:numPr>
          <w:ilvl w:val="3"/>
          <w:numId w:val="23"/>
        </w:numPr>
      </w:pPr>
      <w:r>
        <w:t>Effective Load Carrying Capability (ELCC)</w:t>
      </w:r>
    </w:p>
    <w:p w14:paraId="2AB153F3" w14:textId="77777777" w:rsidR="00E114AB" w:rsidRDefault="00E114AB" w:rsidP="00703718">
      <w:pPr>
        <w:pStyle w:val="ListParagraph"/>
        <w:numPr>
          <w:ilvl w:val="3"/>
          <w:numId w:val="23"/>
        </w:numPr>
      </w:pPr>
      <w:r>
        <w:t>Equivalent Availability Factor (EAF)</w:t>
      </w:r>
    </w:p>
    <w:p w14:paraId="6FEE63D9" w14:textId="5B509C22" w:rsidR="008238A1" w:rsidRDefault="008238A1" w:rsidP="00703718">
      <w:pPr>
        <w:pStyle w:val="ListParagraph"/>
        <w:numPr>
          <w:ilvl w:val="2"/>
          <w:numId w:val="23"/>
        </w:numPr>
      </w:pPr>
      <w:r>
        <w:t xml:space="preserve">Discuss the desired </w:t>
      </w:r>
      <w:r w:rsidR="00043D30">
        <w:t xml:space="preserve">qualification requirements </w:t>
      </w:r>
      <w:r>
        <w:t>for capacity resource</w:t>
      </w:r>
      <w:r w:rsidR="00043D30">
        <w:t>s</w:t>
      </w:r>
      <w:r>
        <w:t xml:space="preserve"> including but not limited to winterization, dual fuel, maximum start time limitations, etc.</w:t>
      </w:r>
    </w:p>
    <w:p w14:paraId="2779731F" w14:textId="3D7B4E65" w:rsidR="00E114AB" w:rsidRDefault="00E114AB" w:rsidP="00703718">
      <w:pPr>
        <w:pStyle w:val="ListParagraph"/>
        <w:numPr>
          <w:ilvl w:val="1"/>
          <w:numId w:val="23"/>
        </w:numPr>
      </w:pPr>
      <w:r>
        <w:t>Determine the</w:t>
      </w:r>
      <w:r w:rsidR="008238A1">
        <w:t xml:space="preserve"> desired qualification</w:t>
      </w:r>
      <w:r w:rsidR="00043D30">
        <w:t xml:space="preserve"> requirements</w:t>
      </w:r>
      <w:r w:rsidR="008238A1">
        <w:t xml:space="preserve"> and accreditation methodology.</w:t>
      </w:r>
    </w:p>
    <w:p w14:paraId="32727EC1" w14:textId="6B578667" w:rsidR="0036033C" w:rsidRDefault="0036033C" w:rsidP="0036033C">
      <w:pPr>
        <w:pStyle w:val="ListParagraph"/>
        <w:numPr>
          <w:ilvl w:val="1"/>
          <w:numId w:val="23"/>
        </w:numPr>
      </w:pPr>
      <w:r>
        <w:t xml:space="preserve">Develop </w:t>
      </w:r>
      <w:r w:rsidR="000D6E2F">
        <w:t xml:space="preserve">proposal </w:t>
      </w:r>
      <w:r>
        <w:t xml:space="preserve">package(s) for vote as appropriate based on the above analysis. </w:t>
      </w:r>
    </w:p>
    <w:p w14:paraId="7380850B" w14:textId="77777777" w:rsidR="0036033C" w:rsidRDefault="0036033C" w:rsidP="00703718">
      <w:pPr>
        <w:pStyle w:val="ListParagraph"/>
        <w:ind w:left="1440"/>
      </w:pPr>
    </w:p>
    <w:p w14:paraId="79422654" w14:textId="77777777" w:rsidR="008238A1" w:rsidRDefault="008238A1" w:rsidP="00703718">
      <w:pPr>
        <w:pStyle w:val="ListParagraph"/>
        <w:ind w:left="1800"/>
      </w:pPr>
    </w:p>
    <w:p w14:paraId="79C55BF3" w14:textId="77777777" w:rsidR="008238A1" w:rsidRDefault="008238A1" w:rsidP="00703718">
      <w:pPr>
        <w:pStyle w:val="ListParagraph"/>
        <w:numPr>
          <w:ilvl w:val="0"/>
          <w:numId w:val="23"/>
        </w:numPr>
      </w:pPr>
      <w:r>
        <w:t>KWA#</w:t>
      </w:r>
      <w:r w:rsidR="007B3098">
        <w:t>6: Determine</w:t>
      </w:r>
      <w:r>
        <w:t xml:space="preserve"> the desired procurement metric and level to maintain the desired level of reliability.</w:t>
      </w:r>
    </w:p>
    <w:p w14:paraId="236567CC" w14:textId="77777777" w:rsidR="008238A1" w:rsidRDefault="008238A1" w:rsidP="00703718">
      <w:pPr>
        <w:pStyle w:val="ListParagraph"/>
        <w:numPr>
          <w:ilvl w:val="1"/>
          <w:numId w:val="23"/>
        </w:numPr>
      </w:pPr>
      <w:r>
        <w:t>Provide education on the current reliability metric and desired level.</w:t>
      </w:r>
    </w:p>
    <w:p w14:paraId="044BD3F5" w14:textId="77777777" w:rsidR="008238A1" w:rsidRDefault="008238A1" w:rsidP="00703718">
      <w:pPr>
        <w:pStyle w:val="ListParagraph"/>
        <w:numPr>
          <w:ilvl w:val="1"/>
          <w:numId w:val="23"/>
        </w:numPr>
      </w:pPr>
      <w:r>
        <w:t>Discuss the pros and cons of this level and metric including discussion of alternative levels and metrics including but not limited to:</w:t>
      </w:r>
    </w:p>
    <w:p w14:paraId="6C0EFF1F" w14:textId="77777777" w:rsidR="008238A1" w:rsidRDefault="008238A1" w:rsidP="00703718">
      <w:pPr>
        <w:pStyle w:val="ListParagraph"/>
        <w:numPr>
          <w:ilvl w:val="2"/>
          <w:numId w:val="23"/>
        </w:numPr>
      </w:pPr>
      <w:r>
        <w:t>Loss of Load Expectation (LOLE)</w:t>
      </w:r>
    </w:p>
    <w:p w14:paraId="165E2D0B" w14:textId="77777777" w:rsidR="008238A1" w:rsidRDefault="008238A1" w:rsidP="00703718">
      <w:pPr>
        <w:pStyle w:val="ListParagraph"/>
        <w:numPr>
          <w:ilvl w:val="2"/>
          <w:numId w:val="23"/>
        </w:numPr>
      </w:pPr>
      <w:r>
        <w:lastRenderedPageBreak/>
        <w:t>Hourly Loss of Load Expectation (LOLH)</w:t>
      </w:r>
    </w:p>
    <w:p w14:paraId="35F2BE50" w14:textId="77777777" w:rsidR="008238A1" w:rsidRDefault="008238A1" w:rsidP="00703718">
      <w:pPr>
        <w:pStyle w:val="ListParagraph"/>
        <w:numPr>
          <w:ilvl w:val="2"/>
          <w:numId w:val="23"/>
        </w:numPr>
      </w:pPr>
      <w:r>
        <w:t>Expected Unserved Energy (EUE)</w:t>
      </w:r>
    </w:p>
    <w:p w14:paraId="3C7BC932" w14:textId="371E1EE8" w:rsidR="008238A1" w:rsidRDefault="008238A1" w:rsidP="00703718">
      <w:pPr>
        <w:pStyle w:val="ListParagraph"/>
        <w:numPr>
          <w:ilvl w:val="1"/>
          <w:numId w:val="23"/>
        </w:numPr>
      </w:pPr>
      <w:r>
        <w:t>Determine the metric and level that meets the desired reliability level.</w:t>
      </w:r>
    </w:p>
    <w:p w14:paraId="19948639" w14:textId="22E5D753" w:rsidR="0036033C" w:rsidRDefault="0036033C" w:rsidP="00F2333C">
      <w:pPr>
        <w:pStyle w:val="ListParagraph"/>
        <w:numPr>
          <w:ilvl w:val="1"/>
          <w:numId w:val="23"/>
        </w:numPr>
      </w:pPr>
      <w:r>
        <w:t xml:space="preserve">Develop </w:t>
      </w:r>
      <w:r w:rsidR="000D6E2F">
        <w:t xml:space="preserve">proposal </w:t>
      </w:r>
      <w:r>
        <w:t xml:space="preserve">package(s) for vote as appropriate based on the above analysis. </w:t>
      </w:r>
    </w:p>
    <w:p w14:paraId="73E25D9A" w14:textId="77777777" w:rsidR="000415CB" w:rsidRDefault="000415CB" w:rsidP="00703718">
      <w:pPr>
        <w:pStyle w:val="ListParagraph"/>
        <w:ind w:left="1800"/>
      </w:pPr>
    </w:p>
    <w:p w14:paraId="4E2DC000" w14:textId="0872F8F3" w:rsidR="000415CB" w:rsidRDefault="000415CB" w:rsidP="00703718">
      <w:pPr>
        <w:pStyle w:val="ListParagraph"/>
        <w:numPr>
          <w:ilvl w:val="0"/>
          <w:numId w:val="23"/>
        </w:numPr>
      </w:pPr>
      <w:r>
        <w:t>KWA#7: Determine the desired obligations of capacity resources</w:t>
      </w:r>
      <w:r w:rsidR="00CF2ABA">
        <w:rPr>
          <w:rStyle w:val="FootnoteReference"/>
        </w:rPr>
        <w:footnoteReference w:id="5"/>
      </w:r>
      <w:r>
        <w:t>.</w:t>
      </w:r>
    </w:p>
    <w:p w14:paraId="4C2B9EEF" w14:textId="77777777" w:rsidR="000415CB" w:rsidRDefault="000415CB" w:rsidP="00F2333C">
      <w:pPr>
        <w:pStyle w:val="ListParagraph"/>
        <w:numPr>
          <w:ilvl w:val="1"/>
          <w:numId w:val="23"/>
        </w:numPr>
      </w:pPr>
      <w:r>
        <w:t>Provide education on the current obligations of a capacity resource including the energy</w:t>
      </w:r>
      <w:r w:rsidR="00CF2ABA">
        <w:t xml:space="preserve"> </w:t>
      </w:r>
      <w:r>
        <w:t>and ancillary service must offer requirements.</w:t>
      </w:r>
    </w:p>
    <w:p w14:paraId="407D15FC" w14:textId="77777777" w:rsidR="000415CB" w:rsidRDefault="000415CB" w:rsidP="00F2333C">
      <w:pPr>
        <w:pStyle w:val="ListParagraph"/>
        <w:numPr>
          <w:ilvl w:val="1"/>
          <w:numId w:val="23"/>
        </w:numPr>
      </w:pPr>
      <w:r>
        <w:t>Where necessary, clarify the existing obligations of a capacity resource.</w:t>
      </w:r>
    </w:p>
    <w:p w14:paraId="7FA268FF" w14:textId="4F2ECAD7" w:rsidR="0036033C" w:rsidRDefault="000415CB" w:rsidP="000D6757">
      <w:pPr>
        <w:pStyle w:val="ListParagraph"/>
        <w:numPr>
          <w:ilvl w:val="1"/>
          <w:numId w:val="23"/>
        </w:numPr>
      </w:pPr>
      <w:r>
        <w:t xml:space="preserve">Determine any additional </w:t>
      </w:r>
      <w:r w:rsidR="00043D30">
        <w:t xml:space="preserve">obligations </w:t>
      </w:r>
      <w:r>
        <w:t>to be placed on capacity resource</w:t>
      </w:r>
      <w:r w:rsidR="00043D30">
        <w:t>s</w:t>
      </w:r>
      <w:r>
        <w:t>.</w:t>
      </w:r>
    </w:p>
    <w:p w14:paraId="6CB70816" w14:textId="37866910" w:rsidR="0036033C" w:rsidRDefault="0036033C" w:rsidP="000D6757">
      <w:pPr>
        <w:pStyle w:val="ListParagraph"/>
        <w:numPr>
          <w:ilvl w:val="1"/>
          <w:numId w:val="23"/>
        </w:numPr>
      </w:pPr>
      <w:r>
        <w:t>Develop</w:t>
      </w:r>
      <w:r w:rsidR="000D6E2F">
        <w:t xml:space="preserve"> proposal</w:t>
      </w:r>
      <w:r>
        <w:t xml:space="preserve"> package(s) for vote as appropriate based on the above analysis. </w:t>
      </w:r>
    </w:p>
    <w:p w14:paraId="3AE473BE" w14:textId="77777777" w:rsidR="0036033C" w:rsidRDefault="0036033C" w:rsidP="00703718">
      <w:pPr>
        <w:pStyle w:val="ListParagraph"/>
        <w:ind w:left="1800"/>
      </w:pPr>
    </w:p>
    <w:p w14:paraId="23B18297" w14:textId="77777777" w:rsidR="000415CB" w:rsidRDefault="000415CB" w:rsidP="00703718">
      <w:pPr>
        <w:pStyle w:val="ListParagraph"/>
        <w:ind w:left="1800"/>
      </w:pPr>
    </w:p>
    <w:p w14:paraId="6BEB9D51" w14:textId="77777777" w:rsidR="000415CB" w:rsidRDefault="000415CB" w:rsidP="00703718">
      <w:pPr>
        <w:pStyle w:val="ListParagraph"/>
        <w:numPr>
          <w:ilvl w:val="0"/>
          <w:numId w:val="23"/>
        </w:numPr>
      </w:pPr>
      <w:r>
        <w:t xml:space="preserve">KWA#8: </w:t>
      </w:r>
      <w:r w:rsidR="00B56B23">
        <w:t xml:space="preserve">Determine if </w:t>
      </w:r>
      <w:r w:rsidR="00F74C32">
        <w:t xml:space="preserve">supply-side </w:t>
      </w:r>
      <w:r w:rsidR="00B56B23">
        <w:t>market power mitigation rules in the capacity market need to be enhanced.</w:t>
      </w:r>
    </w:p>
    <w:p w14:paraId="48FF0AAF" w14:textId="77777777" w:rsidR="00B56B23" w:rsidRDefault="000415CB" w:rsidP="00703718">
      <w:pPr>
        <w:pStyle w:val="ListParagraph"/>
        <w:numPr>
          <w:ilvl w:val="1"/>
          <w:numId w:val="23"/>
        </w:numPr>
      </w:pPr>
      <w:r>
        <w:t xml:space="preserve">Provide education on the current </w:t>
      </w:r>
      <w:r w:rsidR="00B56B23">
        <w:t>market power mitigation rules including but not limited to:</w:t>
      </w:r>
    </w:p>
    <w:p w14:paraId="7B49C8E4" w14:textId="77777777" w:rsidR="00B56B23" w:rsidRDefault="00B56B23" w:rsidP="00703718">
      <w:pPr>
        <w:pStyle w:val="ListParagraph"/>
        <w:numPr>
          <w:ilvl w:val="2"/>
          <w:numId w:val="23"/>
        </w:numPr>
      </w:pPr>
      <w:r>
        <w:t>Capacity market must offer</w:t>
      </w:r>
    </w:p>
    <w:p w14:paraId="58ACD38E" w14:textId="77777777" w:rsidR="000415CB" w:rsidRDefault="00B56B23" w:rsidP="00703718">
      <w:pPr>
        <w:pStyle w:val="ListParagraph"/>
        <w:numPr>
          <w:ilvl w:val="2"/>
          <w:numId w:val="23"/>
        </w:numPr>
      </w:pPr>
      <w:r>
        <w:t>Market Seller Offer Cap</w:t>
      </w:r>
    </w:p>
    <w:p w14:paraId="793CCAD2" w14:textId="77777777" w:rsidR="000415CB" w:rsidRDefault="000415CB" w:rsidP="00703718">
      <w:pPr>
        <w:pStyle w:val="ListParagraph"/>
        <w:numPr>
          <w:ilvl w:val="1"/>
          <w:numId w:val="23"/>
        </w:numPr>
      </w:pPr>
      <w:r>
        <w:t>Based on the risks and opportunity costs determined in KWA#4, the qualifications and accreditation determined in KWA#5 and the obligations determined in KWA#6, determine enhancements necessary to the MSOC for capacity resources.</w:t>
      </w:r>
    </w:p>
    <w:p w14:paraId="2C3DCB22" w14:textId="18FC5C3E" w:rsidR="00345690" w:rsidRDefault="00345690" w:rsidP="00703718">
      <w:pPr>
        <w:pStyle w:val="ListParagraph"/>
        <w:numPr>
          <w:ilvl w:val="1"/>
          <w:numId w:val="23"/>
        </w:numPr>
      </w:pPr>
      <w:r>
        <w:t xml:space="preserve">Determine whether a </w:t>
      </w:r>
      <w:r w:rsidR="00043D30">
        <w:t xml:space="preserve">capacity </w:t>
      </w:r>
      <w:r>
        <w:t>must offer requirement is appropriate for all qualifying capacity resources.</w:t>
      </w:r>
    </w:p>
    <w:p w14:paraId="246B635F" w14:textId="561FCD60" w:rsidR="0036033C" w:rsidRDefault="0036033C" w:rsidP="00F2333C">
      <w:pPr>
        <w:pStyle w:val="ListParagraph"/>
        <w:numPr>
          <w:ilvl w:val="1"/>
          <w:numId w:val="23"/>
        </w:numPr>
      </w:pPr>
      <w:r>
        <w:t xml:space="preserve">Develop </w:t>
      </w:r>
      <w:r w:rsidR="000D6E2F">
        <w:t xml:space="preserve">proposal </w:t>
      </w:r>
      <w:r>
        <w:t xml:space="preserve">package(s) for vote as appropriate based on the above analysis. </w:t>
      </w:r>
    </w:p>
    <w:p w14:paraId="59A6A01B" w14:textId="77777777" w:rsidR="00DB1340" w:rsidRDefault="00DB1340" w:rsidP="00703718">
      <w:pPr>
        <w:pStyle w:val="ListParagraph"/>
        <w:ind w:left="1800"/>
      </w:pPr>
    </w:p>
    <w:p w14:paraId="685913F5" w14:textId="3B899DC7" w:rsidR="00DB1340" w:rsidRDefault="00DB1340" w:rsidP="00703718">
      <w:pPr>
        <w:pStyle w:val="ListParagraph"/>
        <w:numPr>
          <w:ilvl w:val="0"/>
          <w:numId w:val="23"/>
        </w:numPr>
      </w:pPr>
      <w:r>
        <w:t xml:space="preserve">KWA#9: </w:t>
      </w:r>
      <w:r w:rsidR="00636417">
        <w:t xml:space="preserve">Determine if the </w:t>
      </w:r>
      <w:r>
        <w:t>Fixed Resource Requirement</w:t>
      </w:r>
      <w:r w:rsidR="00CC4602">
        <w:t xml:space="preserve"> (FRR)</w:t>
      </w:r>
      <w:r>
        <w:t xml:space="preserve"> </w:t>
      </w:r>
      <w:r w:rsidR="00636417">
        <w:t>rules need to be enhanced.</w:t>
      </w:r>
    </w:p>
    <w:p w14:paraId="3C5F8A47" w14:textId="77777777" w:rsidR="00636417" w:rsidRDefault="00DB1340" w:rsidP="00703718">
      <w:pPr>
        <w:pStyle w:val="ListParagraph"/>
        <w:numPr>
          <w:ilvl w:val="1"/>
          <w:numId w:val="23"/>
        </w:numPr>
      </w:pPr>
      <w:r>
        <w:t>Provide education on the current FRR rules.</w:t>
      </w:r>
    </w:p>
    <w:p w14:paraId="38488B54" w14:textId="77777777" w:rsidR="00DB1340" w:rsidRDefault="00DB1340" w:rsidP="00703718">
      <w:pPr>
        <w:pStyle w:val="ListParagraph"/>
        <w:numPr>
          <w:ilvl w:val="1"/>
          <w:numId w:val="23"/>
        </w:numPr>
      </w:pPr>
      <w:r>
        <w:t xml:space="preserve">Based on potential changes to the RPM, identify opportunities to align RPM and FRR rules. </w:t>
      </w:r>
    </w:p>
    <w:p w14:paraId="5215DE92" w14:textId="1AB9256E" w:rsidR="00B64565" w:rsidRDefault="00B64565" w:rsidP="00703718">
      <w:pPr>
        <w:pStyle w:val="ListParagraph"/>
        <w:numPr>
          <w:ilvl w:val="1"/>
          <w:numId w:val="23"/>
        </w:numPr>
      </w:pPr>
      <w:r>
        <w:t xml:space="preserve">Determine any additional changes to FRR rules that may be appropriate. </w:t>
      </w:r>
    </w:p>
    <w:p w14:paraId="4BDD9C64" w14:textId="667C3094" w:rsidR="0036033C" w:rsidRDefault="0036033C" w:rsidP="00F2333C">
      <w:pPr>
        <w:pStyle w:val="ListParagraph"/>
        <w:numPr>
          <w:ilvl w:val="1"/>
          <w:numId w:val="23"/>
        </w:numPr>
      </w:pPr>
      <w:r>
        <w:t xml:space="preserve">Develop </w:t>
      </w:r>
      <w:r w:rsidR="000D6E2F">
        <w:t xml:space="preserve">proposal </w:t>
      </w:r>
      <w:r>
        <w:t xml:space="preserve">package(s) for vote as appropriate based on the above analysis. </w:t>
      </w:r>
    </w:p>
    <w:p w14:paraId="2C0864B3" w14:textId="77777777" w:rsidR="00864152" w:rsidRDefault="00864152" w:rsidP="00774AE9">
      <w:pPr>
        <w:pStyle w:val="ListParagraph"/>
        <w:ind w:left="2160"/>
      </w:pPr>
    </w:p>
    <w:p w14:paraId="590C02D0" w14:textId="77777777" w:rsidR="000B2F32" w:rsidRDefault="000B2F32" w:rsidP="00774AE9">
      <w:pPr>
        <w:pStyle w:val="Heading2"/>
      </w:pPr>
      <w:r>
        <w:t xml:space="preserve">Items not covered in this </w:t>
      </w:r>
      <w:r w:rsidR="004E05D7">
        <w:t>I</w:t>
      </w:r>
      <w:r>
        <w:t xml:space="preserve">ssue </w:t>
      </w:r>
      <w:r w:rsidR="004E05D7">
        <w:t>C</w:t>
      </w:r>
      <w:r>
        <w:t>harge scope</w:t>
      </w:r>
      <w:r w:rsidR="004E05D7">
        <w:t xml:space="preserve"> at this time</w:t>
      </w:r>
      <w:r>
        <w:t>:</w:t>
      </w:r>
    </w:p>
    <w:p w14:paraId="3CD4D2F5" w14:textId="77777777" w:rsidR="00FD43EF" w:rsidRDefault="004E05D7" w:rsidP="000B2F32">
      <w:r>
        <w:t>The topics below have been raised but require a clear problem statement prior to being considered as in scope.</w:t>
      </w:r>
    </w:p>
    <w:p w14:paraId="4BADE256" w14:textId="7F371345" w:rsidR="00FD43EF" w:rsidRDefault="00FD43EF" w:rsidP="00774AE9">
      <w:pPr>
        <w:pStyle w:val="ListParagraph"/>
        <w:numPr>
          <w:ilvl w:val="0"/>
          <w:numId w:val="26"/>
        </w:numPr>
      </w:pPr>
      <w:r>
        <w:t xml:space="preserve">CTR Allocation </w:t>
      </w:r>
    </w:p>
    <w:p w14:paraId="68D0D535" w14:textId="443057DA" w:rsidR="00FD43EF" w:rsidRDefault="00FD43EF" w:rsidP="00774AE9">
      <w:pPr>
        <w:pStyle w:val="ListParagraph"/>
        <w:numPr>
          <w:ilvl w:val="0"/>
          <w:numId w:val="26"/>
        </w:numPr>
      </w:pPr>
      <w:r>
        <w:t xml:space="preserve">DR handled as a supply resource </w:t>
      </w:r>
    </w:p>
    <w:p w14:paraId="2E903589" w14:textId="1DD23E2C" w:rsidR="00345690" w:rsidRDefault="00345690" w:rsidP="00774AE9">
      <w:pPr>
        <w:pStyle w:val="ListParagraph"/>
        <w:numPr>
          <w:ilvl w:val="0"/>
          <w:numId w:val="26"/>
        </w:numPr>
      </w:pPr>
      <w:r>
        <w:t>Incremental Auction design</w:t>
      </w:r>
      <w:r w:rsidR="00B56B23">
        <w:t xml:space="preserve"> </w:t>
      </w:r>
    </w:p>
    <w:p w14:paraId="6D629618" w14:textId="7E34287E" w:rsidR="00B56B23" w:rsidRDefault="00B56B23" w:rsidP="00774AE9">
      <w:pPr>
        <w:pStyle w:val="ListParagraph"/>
        <w:numPr>
          <w:ilvl w:val="0"/>
          <w:numId w:val="26"/>
        </w:numPr>
      </w:pPr>
      <w:r>
        <w:t>Demand curve structure</w:t>
      </w:r>
    </w:p>
    <w:p w14:paraId="7A2501F0" w14:textId="7664C57A" w:rsidR="00B56B23" w:rsidRDefault="00B56B23" w:rsidP="00774AE9">
      <w:pPr>
        <w:pStyle w:val="ListParagraph"/>
        <w:numPr>
          <w:ilvl w:val="0"/>
          <w:numId w:val="26"/>
        </w:numPr>
      </w:pPr>
      <w:r>
        <w:t xml:space="preserve">Replacement Transactions </w:t>
      </w:r>
    </w:p>
    <w:p w14:paraId="78C851B0" w14:textId="77777777" w:rsidR="00B21D48" w:rsidRDefault="006E788B" w:rsidP="00774AE9">
      <w:pPr>
        <w:pStyle w:val="Heading2"/>
      </w:pPr>
      <w:r>
        <w:lastRenderedPageBreak/>
        <w:t>Out of Scope:</w:t>
      </w:r>
    </w:p>
    <w:p w14:paraId="37F2D6BB" w14:textId="77777777" w:rsidR="006E788B" w:rsidRDefault="006E788B" w:rsidP="00774AE9">
      <w:pPr>
        <w:pStyle w:val="ListParagraph"/>
        <w:numPr>
          <w:ilvl w:val="0"/>
          <w:numId w:val="22"/>
        </w:numPr>
      </w:pPr>
      <w:r>
        <w:t>Topics related to the Minimum Offer Price Rule</w:t>
      </w:r>
      <w:r w:rsidR="004E5D82">
        <w:t xml:space="preserve"> </w:t>
      </w:r>
      <w:r w:rsidR="005C760D">
        <w:t>(MOPR) in Phase 1</w:t>
      </w:r>
      <w:r w:rsidR="00F74C32">
        <w:t xml:space="preserve"> beyond those needed for consistency with the work in this Issue Charge.</w:t>
      </w:r>
    </w:p>
    <w:p w14:paraId="7A249F45" w14:textId="77777777" w:rsidR="004E5D82" w:rsidRDefault="004E05D7" w:rsidP="00774AE9">
      <w:pPr>
        <w:pStyle w:val="ListParagraph"/>
        <w:numPr>
          <w:ilvl w:val="0"/>
          <w:numId w:val="22"/>
        </w:numPr>
      </w:pPr>
      <w:r>
        <w:t>E</w:t>
      </w:r>
      <w:r w:rsidR="004E5D82">
        <w:t>limination of the Fixed Resource Requirement option</w:t>
      </w:r>
    </w:p>
    <w:p w14:paraId="69FF0403" w14:textId="6A767EF7" w:rsidR="00D30A10" w:rsidRDefault="004E05D7" w:rsidP="00774AE9">
      <w:pPr>
        <w:pStyle w:val="Heading2"/>
      </w:pPr>
      <w:r>
        <w:t>Related Topics Being Discussed Elsewhere</w:t>
      </w:r>
      <w:r w:rsidR="00D30A10">
        <w:t>:</w:t>
      </w:r>
    </w:p>
    <w:p w14:paraId="7749E14B" w14:textId="7E40C00B" w:rsidR="004E5D82" w:rsidRDefault="004E5D82" w:rsidP="00774AE9">
      <w:pPr>
        <w:pStyle w:val="ListParagraph"/>
        <w:numPr>
          <w:ilvl w:val="0"/>
          <w:numId w:val="27"/>
        </w:numPr>
      </w:pPr>
      <w:r>
        <w:t>CIRs quantities for ELCC resources (PC)</w:t>
      </w:r>
    </w:p>
    <w:p w14:paraId="68550443" w14:textId="77777777" w:rsidR="004E5D82" w:rsidRDefault="004E5D82" w:rsidP="00774AE9">
      <w:pPr>
        <w:pStyle w:val="ListParagraph"/>
        <w:numPr>
          <w:ilvl w:val="0"/>
          <w:numId w:val="27"/>
        </w:numPr>
      </w:pPr>
      <w:r>
        <w:t>Reactive Power Compensation (unless consolidated from the MIC)</w:t>
      </w:r>
    </w:p>
    <w:p w14:paraId="20916EA9" w14:textId="0B20BF26" w:rsidR="004E5D82" w:rsidRDefault="004E5D82" w:rsidP="00774AE9">
      <w:pPr>
        <w:pStyle w:val="ListParagraph"/>
        <w:numPr>
          <w:ilvl w:val="0"/>
          <w:numId w:val="27"/>
        </w:numPr>
      </w:pPr>
      <w:r>
        <w:t>Rules for capacity participation by Distributed Energy Resources. Discussion on this is occurring at the D</w:t>
      </w:r>
      <w:r w:rsidR="000F70CE">
        <w:t>istributed and Inverter-Based Resources Subcommittee and is the subject of a PJM compliance filing that is due on February 1, 2022.</w:t>
      </w:r>
    </w:p>
    <w:p w14:paraId="0251DB51" w14:textId="74B3109F" w:rsidR="007E6651" w:rsidRPr="009A1BBF" w:rsidRDefault="007E6651" w:rsidP="00774AE9">
      <w:pPr>
        <w:pStyle w:val="ListParagraph"/>
        <w:numPr>
          <w:ilvl w:val="0"/>
          <w:numId w:val="27"/>
        </w:numPr>
      </w:pPr>
      <w:r w:rsidRPr="009A1BBF">
        <w:t>Reliability</w:t>
      </w:r>
      <w:r w:rsidR="00A36DF6">
        <w:t xml:space="preserve"> Products and</w:t>
      </w:r>
      <w:r w:rsidRPr="009A1BBF">
        <w:t xml:space="preserve"> Services initial assessment (OC)</w:t>
      </w:r>
    </w:p>
    <w:p w14:paraId="775C9BEE" w14:textId="561F04A4" w:rsidR="007E6651" w:rsidRPr="009A1BBF" w:rsidRDefault="009A1BBF">
      <w:pPr>
        <w:pStyle w:val="ListParagraph"/>
        <w:numPr>
          <w:ilvl w:val="0"/>
          <w:numId w:val="27"/>
        </w:numPr>
      </w:pPr>
      <w:r w:rsidRPr="009A1BBF">
        <w:t>Quad</w:t>
      </w:r>
      <w:r>
        <w:t>rennial</w:t>
      </w:r>
      <w:r w:rsidR="007E6651" w:rsidRPr="009A1BBF">
        <w:t xml:space="preserve"> Review</w:t>
      </w:r>
      <w:r>
        <w:t xml:space="preserve"> (MIC)</w:t>
      </w:r>
    </w:p>
    <w:p w14:paraId="6DC85B0A" w14:textId="1514733D" w:rsidR="0043021D" w:rsidRPr="009A1BBF" w:rsidRDefault="007E6651">
      <w:pPr>
        <w:pStyle w:val="ListParagraph"/>
        <w:numPr>
          <w:ilvl w:val="0"/>
          <w:numId w:val="27"/>
        </w:numPr>
      </w:pPr>
      <w:r w:rsidRPr="009A1BBF">
        <w:t xml:space="preserve">Load Forecast </w:t>
      </w:r>
      <w:r w:rsidR="00F67C33">
        <w:t>(</w:t>
      </w:r>
      <w:r w:rsidR="009A1BBF">
        <w:t>LAS)</w:t>
      </w:r>
    </w:p>
    <w:p w14:paraId="17FCC84D" w14:textId="4C95ADC5" w:rsidR="0043021D" w:rsidRPr="00704CCA" w:rsidRDefault="00704CCA" w:rsidP="0043021D">
      <w:pPr>
        <w:pStyle w:val="ListParagraph"/>
        <w:numPr>
          <w:ilvl w:val="0"/>
          <w:numId w:val="27"/>
        </w:numPr>
      </w:pPr>
      <w:r>
        <w:t>Potential CETO/CETL reform (</w:t>
      </w:r>
      <w:r w:rsidR="00D640B0">
        <w:t xml:space="preserve">potential to be addressed at the </w:t>
      </w:r>
      <w:r>
        <w:t>PC)</w:t>
      </w:r>
    </w:p>
    <w:p w14:paraId="064F0797" w14:textId="77777777" w:rsidR="005A4543" w:rsidRPr="005A4543" w:rsidRDefault="00184C5F" w:rsidP="0043021D">
      <w:pPr>
        <w:pStyle w:val="Heading3"/>
      </w:pPr>
      <w:r>
        <w:t xml:space="preserve">Expected Deliverables </w:t>
      </w:r>
    </w:p>
    <w:p w14:paraId="20E2D631" w14:textId="77777777" w:rsidR="00AB3028" w:rsidRPr="00AB3028" w:rsidRDefault="00AB3028" w:rsidP="0043021D">
      <w:r>
        <w:t xml:space="preserve">1. Education and analysis as needed concerning items identified in the scope of work. </w:t>
      </w:r>
      <w:r>
        <w:br/>
        <w:t>2. Proposed revisions to PJM’s Tariff</w:t>
      </w:r>
      <w:r w:rsidR="006E788B">
        <w:t xml:space="preserve"> and the Operating Agreement</w:t>
      </w:r>
      <w:r>
        <w:t>, resulting in a FERC filing.</w:t>
      </w:r>
      <w:r>
        <w:br/>
        <w:t>3. Proposed revisions to PJM Business Practice Manuals.</w:t>
      </w:r>
    </w:p>
    <w:p w14:paraId="393FE154" w14:textId="77777777" w:rsidR="00184C5F" w:rsidRDefault="00184C5F">
      <w:pPr>
        <w:pStyle w:val="Heading3"/>
      </w:pPr>
      <w:r>
        <w:t>Decision-Making Method</w:t>
      </w:r>
    </w:p>
    <w:p w14:paraId="62B430F3" w14:textId="77777777" w:rsidR="00184C5F" w:rsidRDefault="002F495E">
      <w:r>
        <w:t xml:space="preserve">Tier 1 </w:t>
      </w:r>
      <w:r w:rsidR="00AB3028">
        <w:t>consensus.</w:t>
      </w:r>
      <w:r w:rsidR="00E31FF1">
        <w:t xml:space="preserve"> It is expected that topic areas will have individual matrices and proposals developed. </w:t>
      </w:r>
    </w:p>
    <w:p w14:paraId="35C6C786" w14:textId="77777777" w:rsidR="0095633F" w:rsidRDefault="0095633F" w:rsidP="0095633F">
      <w:pPr>
        <w:pStyle w:val="Heading3"/>
      </w:pPr>
      <w:r>
        <w:t xml:space="preserve">Stakeholder Group Assignment </w:t>
      </w:r>
    </w:p>
    <w:p w14:paraId="25E13314" w14:textId="77777777" w:rsidR="0095633F" w:rsidRDefault="00EB47BE" w:rsidP="0095633F">
      <w:r>
        <w:t xml:space="preserve">The Resource Adequacy Senior Task Force (RASTF). </w:t>
      </w:r>
    </w:p>
    <w:p w14:paraId="4B71401C" w14:textId="77777777" w:rsidR="004F51E9" w:rsidRDefault="004F51E9" w:rsidP="004F51E9">
      <w:pPr>
        <w:pStyle w:val="Heading3"/>
      </w:pPr>
      <w:r>
        <w:t>Expected Duration of Work Timeline</w:t>
      </w:r>
    </w:p>
    <w:p w14:paraId="52B554B4" w14:textId="563075DE" w:rsidR="00FD43EF" w:rsidRDefault="00D378A4">
      <w:r>
        <w:t>Initial discussion, education</w:t>
      </w:r>
      <w:r w:rsidR="008340E4">
        <w:t xml:space="preserve"> and assessment will begin immediately. It is expected that issues will be worked on varying timelines. </w:t>
      </w:r>
      <w:r w:rsidR="003A58E9">
        <w:t xml:space="preserve">It is </w:t>
      </w:r>
      <w:r w:rsidR="008340E4">
        <w:t>expect</w:t>
      </w:r>
      <w:r w:rsidR="003A58E9">
        <w:t>ed that</w:t>
      </w:r>
      <w:r w:rsidR="008340E4">
        <w:t xml:space="preserve"> all RASTF work </w:t>
      </w:r>
      <w:r w:rsidR="003A58E9">
        <w:t>will</w:t>
      </w:r>
      <w:r w:rsidR="008340E4">
        <w:t xml:space="preserve"> be completed by </w:t>
      </w:r>
      <w:r w:rsidR="00BA0EE4">
        <w:t>Q4 2023 in time for implementation in the 2027/2028 Base Residual Auction to be held in May 2024</w:t>
      </w:r>
      <w:r w:rsidR="008340E4">
        <w:t xml:space="preserve">. </w:t>
      </w:r>
      <w:r>
        <w:t xml:space="preserve"> </w:t>
      </w:r>
      <w:r w:rsidR="00BA0EE4">
        <w:t xml:space="preserve">However, any solution to a </w:t>
      </w:r>
      <w:r w:rsidR="000D6E2F">
        <w:t xml:space="preserve">germane </w:t>
      </w:r>
      <w:r w:rsidR="00FD43EF">
        <w:t xml:space="preserve">topic area </w:t>
      </w:r>
      <w:r w:rsidR="00BA0EE4">
        <w:t xml:space="preserve">or group of </w:t>
      </w:r>
      <w:r w:rsidR="00FD43EF">
        <w:t>areas</w:t>
      </w:r>
      <w:r w:rsidR="00BA0EE4">
        <w:t xml:space="preserve"> may be advanced earlier than that at the members’ discretion</w:t>
      </w:r>
      <w:r w:rsidR="00D008AF">
        <w:rPr>
          <w:rStyle w:val="FootnoteReference"/>
        </w:rPr>
        <w:footnoteReference w:id="6"/>
      </w:r>
      <w:r w:rsidR="00BA0EE4">
        <w:t xml:space="preserve">. </w:t>
      </w:r>
      <w:r w:rsidRPr="00D378A4">
        <w:t>Monthly meetings are anticipated (more or less frequently as needed).</w:t>
      </w:r>
      <w:r w:rsidR="000352A4">
        <w:t xml:space="preserve"> </w:t>
      </w:r>
    </w:p>
    <w:p w14:paraId="117F51C3" w14:textId="77777777" w:rsidR="005A4543" w:rsidRPr="008B16A7" w:rsidRDefault="00FD43EF">
      <w:pPr>
        <w:rPr>
          <w:b/>
        </w:rPr>
      </w:pPr>
      <w:r>
        <w:t>The work is sequenced to allow for high-level decisions to be made by Q1 2022 on the product definition for the clean resource attribute procurement and on whether the capacity market should be developed to persist as an annual market or transition to a seasonal one.</w:t>
      </w:r>
    </w:p>
    <w:p w14:paraId="5C706D8B" w14:textId="279B3227" w:rsidR="005A4543" w:rsidRDefault="005A4543" w:rsidP="00D378A4"/>
    <w:p w14:paraId="07DFD365" w14:textId="77777777" w:rsidR="00B41151" w:rsidRDefault="00B41151" w:rsidP="00D378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right w:w="0" w:type="dxa"/>
        </w:tblCellMar>
        <w:tblLook w:val="04A0" w:firstRow="1" w:lastRow="0" w:firstColumn="1" w:lastColumn="0" w:noHBand="0" w:noVBand="1"/>
      </w:tblPr>
      <w:tblGrid>
        <w:gridCol w:w="1548"/>
        <w:gridCol w:w="3240"/>
        <w:gridCol w:w="2394"/>
        <w:gridCol w:w="2394"/>
      </w:tblGrid>
      <w:tr w:rsidR="006846CE" w14:paraId="14DEB1BC" w14:textId="77777777" w:rsidTr="00B74F4D">
        <w:trPr>
          <w:trHeight w:val="364"/>
        </w:trPr>
        <w:tc>
          <w:tcPr>
            <w:tcW w:w="1548" w:type="dxa"/>
            <w:tcBorders>
              <w:top w:val="single" w:sz="4" w:space="0" w:color="auto"/>
              <w:left w:val="single" w:sz="4" w:space="0" w:color="auto"/>
              <w:bottom w:val="nil"/>
              <w:right w:val="single" w:sz="4" w:space="0" w:color="auto"/>
            </w:tcBorders>
            <w:shd w:val="clear" w:color="auto" w:fill="auto"/>
          </w:tcPr>
          <w:p w14:paraId="6027672E" w14:textId="77777777" w:rsidR="006846CE" w:rsidRPr="00B74F4D" w:rsidRDefault="006846CE" w:rsidP="00B74F4D">
            <w:pPr>
              <w:spacing w:after="0"/>
              <w:rPr>
                <w:b/>
                <w:color w:val="1F497D"/>
                <w:sz w:val="24"/>
              </w:rPr>
            </w:pPr>
            <w:r w:rsidRPr="00B74F4D">
              <w:rPr>
                <w:b/>
                <w:color w:val="1F497D"/>
                <w:sz w:val="24"/>
              </w:rPr>
              <w:lastRenderedPageBreak/>
              <w:t>Start Date</w:t>
            </w:r>
          </w:p>
        </w:tc>
        <w:tc>
          <w:tcPr>
            <w:tcW w:w="3240" w:type="dxa"/>
            <w:tcBorders>
              <w:left w:val="single" w:sz="4" w:space="0" w:color="auto"/>
              <w:bottom w:val="nil"/>
              <w:right w:val="single" w:sz="4" w:space="0" w:color="auto"/>
            </w:tcBorders>
            <w:shd w:val="clear" w:color="auto" w:fill="auto"/>
          </w:tcPr>
          <w:p w14:paraId="62AE28F3" w14:textId="77777777" w:rsidR="006846CE" w:rsidRPr="00B74F4D" w:rsidRDefault="006846CE" w:rsidP="00B74F4D">
            <w:pPr>
              <w:spacing w:after="0"/>
              <w:rPr>
                <w:b/>
                <w:color w:val="1F497D"/>
                <w:sz w:val="24"/>
              </w:rPr>
            </w:pPr>
            <w:r w:rsidRPr="00B74F4D">
              <w:rPr>
                <w:b/>
                <w:color w:val="1F497D"/>
                <w:sz w:val="24"/>
              </w:rPr>
              <w:t>Priority Level</w:t>
            </w:r>
          </w:p>
        </w:tc>
        <w:tc>
          <w:tcPr>
            <w:tcW w:w="2394" w:type="dxa"/>
            <w:tcBorders>
              <w:top w:val="single" w:sz="4" w:space="0" w:color="auto"/>
              <w:left w:val="single" w:sz="4" w:space="0" w:color="auto"/>
              <w:bottom w:val="nil"/>
              <w:right w:val="single" w:sz="4" w:space="0" w:color="auto"/>
            </w:tcBorders>
            <w:shd w:val="clear" w:color="auto" w:fill="auto"/>
          </w:tcPr>
          <w:p w14:paraId="4E65D8EE" w14:textId="77777777" w:rsidR="006846CE" w:rsidRPr="00B74F4D" w:rsidRDefault="006846CE" w:rsidP="00B74F4D">
            <w:pPr>
              <w:spacing w:after="0"/>
              <w:rPr>
                <w:b/>
                <w:color w:val="1F497D"/>
                <w:sz w:val="24"/>
              </w:rPr>
            </w:pPr>
            <w:r w:rsidRPr="00B74F4D">
              <w:rPr>
                <w:b/>
                <w:color w:val="1F497D"/>
                <w:sz w:val="24"/>
              </w:rPr>
              <w:t>Timing</w:t>
            </w:r>
          </w:p>
        </w:tc>
        <w:tc>
          <w:tcPr>
            <w:tcW w:w="2394" w:type="dxa"/>
            <w:tcBorders>
              <w:top w:val="single" w:sz="4" w:space="0" w:color="auto"/>
              <w:left w:val="single" w:sz="4" w:space="0" w:color="auto"/>
              <w:bottom w:val="nil"/>
              <w:right w:val="single" w:sz="4" w:space="0" w:color="auto"/>
            </w:tcBorders>
            <w:shd w:val="clear" w:color="auto" w:fill="auto"/>
          </w:tcPr>
          <w:p w14:paraId="343FF675" w14:textId="77777777" w:rsidR="006846CE" w:rsidRPr="00B74F4D" w:rsidRDefault="006846CE" w:rsidP="00B74F4D">
            <w:pPr>
              <w:spacing w:after="0"/>
              <w:rPr>
                <w:b/>
                <w:color w:val="1F497D"/>
                <w:sz w:val="24"/>
              </w:rPr>
            </w:pPr>
            <w:r w:rsidRPr="00B74F4D">
              <w:rPr>
                <w:b/>
                <w:color w:val="1F497D"/>
                <w:sz w:val="24"/>
              </w:rPr>
              <w:t>Meeting Frequency</w:t>
            </w:r>
          </w:p>
        </w:tc>
      </w:tr>
      <w:tr w:rsidR="006846CE" w14:paraId="32BFAFB8" w14:textId="77777777" w:rsidTr="00B74F4D">
        <w:trPr>
          <w:trHeight w:val="239"/>
        </w:trPr>
        <w:sdt>
          <w:sdtPr>
            <w:id w:val="-441616267"/>
            <w:placeholder>
              <w:docPart w:val="DefaultPlaceholder_1082065160"/>
            </w:placeholder>
            <w:date w:fullDate="2021-10-22T00:00:00Z">
              <w:dateFormat w:val="M/d/yyyy"/>
              <w:lid w:val="en-US"/>
              <w:storeMappedDataAs w:val="dateTime"/>
              <w:calendar w:val="gregorian"/>
            </w:date>
          </w:sdtPr>
          <w:sdtEndPr/>
          <w:sdtContent>
            <w:tc>
              <w:tcPr>
                <w:tcW w:w="1548" w:type="dxa"/>
                <w:vMerge w:val="restart"/>
                <w:tcBorders>
                  <w:top w:val="nil"/>
                  <w:left w:val="single" w:sz="4" w:space="0" w:color="auto"/>
                  <w:bottom w:val="single" w:sz="4" w:space="0" w:color="auto"/>
                  <w:right w:val="single" w:sz="4" w:space="0" w:color="auto"/>
                </w:tcBorders>
                <w:shd w:val="clear" w:color="auto" w:fill="auto"/>
              </w:tcPr>
              <w:p w14:paraId="3E553ADC" w14:textId="77777777" w:rsidR="006846CE" w:rsidRPr="000E1912" w:rsidRDefault="00EB47BE" w:rsidP="00EB47BE">
                <w:pPr>
                  <w:spacing w:after="0"/>
                </w:pPr>
                <w:r>
                  <w:t>10/22/2021</w:t>
                </w:r>
              </w:p>
            </w:tc>
          </w:sdtContent>
        </w:sdt>
        <w:tc>
          <w:tcPr>
            <w:tcW w:w="3240" w:type="dxa"/>
            <w:tcBorders>
              <w:top w:val="nil"/>
              <w:left w:val="single" w:sz="4" w:space="0" w:color="auto"/>
              <w:bottom w:val="nil"/>
              <w:right w:val="single" w:sz="4" w:space="0" w:color="auto"/>
            </w:tcBorders>
            <w:shd w:val="clear" w:color="auto" w:fill="auto"/>
          </w:tcPr>
          <w:p w14:paraId="66BFE149" w14:textId="77777777" w:rsidR="006846CE" w:rsidRPr="000E1912" w:rsidRDefault="00002FBA" w:rsidP="000B3216">
            <w:pPr>
              <w:spacing w:after="0"/>
            </w:pPr>
            <w:sdt>
              <w:sdtPr>
                <w:id w:val="-1903904718"/>
                <w14:checkbox>
                  <w14:checked w14:val="1"/>
                  <w14:checkedState w14:val="2612" w14:font="MS Gothic"/>
                  <w14:uncheckedState w14:val="2610" w14:font="MS Gothic"/>
                </w14:checkbox>
              </w:sdtPr>
              <w:sdtEndPr/>
              <w:sdtContent>
                <w:r w:rsidR="008340E4">
                  <w:rPr>
                    <w:rFonts w:ascii="MS Gothic" w:eastAsia="MS Gothic" w:hAnsi="MS Gothic" w:hint="eastAsia"/>
                  </w:rPr>
                  <w:t>☒</w:t>
                </w:r>
              </w:sdtContent>
            </w:sdt>
            <w:r w:rsidR="006846CE" w:rsidRPr="000E1912">
              <w:t>High</w:t>
            </w:r>
          </w:p>
        </w:tc>
        <w:tc>
          <w:tcPr>
            <w:tcW w:w="2394" w:type="dxa"/>
            <w:tcBorders>
              <w:top w:val="nil"/>
              <w:left w:val="single" w:sz="4" w:space="0" w:color="auto"/>
              <w:bottom w:val="nil"/>
              <w:right w:val="single" w:sz="4" w:space="0" w:color="auto"/>
            </w:tcBorders>
            <w:shd w:val="clear" w:color="auto" w:fill="auto"/>
          </w:tcPr>
          <w:p w14:paraId="6A32A5C7" w14:textId="77777777" w:rsidR="006846CE" w:rsidRPr="000E1912" w:rsidRDefault="00002FBA" w:rsidP="00B74F4D">
            <w:pPr>
              <w:spacing w:after="0"/>
            </w:pPr>
            <w:sdt>
              <w:sdtPr>
                <w:id w:val="2128889162"/>
                <w14:checkbox>
                  <w14:checked w14:val="1"/>
                  <w14:checkedState w14:val="2612" w14:font="MS Gothic"/>
                  <w14:uncheckedState w14:val="2610" w14:font="MS Gothic"/>
                </w14:checkbox>
              </w:sdtPr>
              <w:sdtEndPr/>
              <w:sdtContent>
                <w:r w:rsidR="009B74A0">
                  <w:rPr>
                    <w:rFonts w:ascii="MS Gothic" w:eastAsia="MS Gothic" w:hAnsi="MS Gothic" w:hint="eastAsia"/>
                  </w:rPr>
                  <w:t>☒</w:t>
                </w:r>
              </w:sdtContent>
            </w:sdt>
            <w:r w:rsidR="006846CE" w:rsidRPr="000E1912">
              <w:t xml:space="preserve"> Immediate</w:t>
            </w:r>
          </w:p>
        </w:tc>
        <w:tc>
          <w:tcPr>
            <w:tcW w:w="2394" w:type="dxa"/>
            <w:tcBorders>
              <w:top w:val="nil"/>
              <w:left w:val="single" w:sz="4" w:space="0" w:color="auto"/>
              <w:bottom w:val="nil"/>
              <w:right w:val="single" w:sz="4" w:space="0" w:color="auto"/>
            </w:tcBorders>
            <w:shd w:val="clear" w:color="auto" w:fill="auto"/>
          </w:tcPr>
          <w:p w14:paraId="340EB197" w14:textId="77777777" w:rsidR="006846CE" w:rsidRPr="000E1912" w:rsidRDefault="00002FBA" w:rsidP="00B74F4D">
            <w:pPr>
              <w:spacing w:after="0"/>
            </w:pPr>
            <w:sdt>
              <w:sdtPr>
                <w:id w:val="2071688767"/>
                <w14:checkbox>
                  <w14:checked w14:val="0"/>
                  <w14:checkedState w14:val="2612" w14:font="MS Gothic"/>
                  <w14:uncheckedState w14:val="2610" w14:font="MS Gothic"/>
                </w14:checkbox>
              </w:sdtPr>
              <w:sdtEndPr/>
              <w:sdtContent>
                <w:r w:rsidR="00B878FB">
                  <w:rPr>
                    <w:rFonts w:ascii="MS Gothic" w:eastAsia="MS Gothic" w:hAnsi="MS Gothic" w:hint="eastAsia"/>
                  </w:rPr>
                  <w:t>☐</w:t>
                </w:r>
              </w:sdtContent>
            </w:sdt>
            <w:r w:rsidR="006846CE" w:rsidRPr="000E1912">
              <w:t xml:space="preserve"> Weekly</w:t>
            </w:r>
          </w:p>
        </w:tc>
      </w:tr>
      <w:tr w:rsidR="006846CE" w14:paraId="0AFD54A0" w14:textId="77777777" w:rsidTr="00B74F4D">
        <w:trPr>
          <w:trHeight w:val="22"/>
        </w:trPr>
        <w:tc>
          <w:tcPr>
            <w:tcW w:w="1548" w:type="dxa"/>
            <w:vMerge/>
            <w:tcBorders>
              <w:top w:val="nil"/>
              <w:left w:val="single" w:sz="4" w:space="0" w:color="auto"/>
              <w:bottom w:val="single" w:sz="4" w:space="0" w:color="auto"/>
              <w:right w:val="single" w:sz="4" w:space="0" w:color="auto"/>
            </w:tcBorders>
            <w:shd w:val="clear" w:color="auto" w:fill="auto"/>
          </w:tcPr>
          <w:p w14:paraId="7EC4F2B7" w14:textId="77777777" w:rsidR="006846CE" w:rsidRPr="000E1912" w:rsidRDefault="006846CE" w:rsidP="00B74F4D">
            <w:pPr>
              <w:spacing w:after="0"/>
            </w:pPr>
          </w:p>
        </w:tc>
        <w:tc>
          <w:tcPr>
            <w:tcW w:w="3240" w:type="dxa"/>
            <w:tcBorders>
              <w:top w:val="nil"/>
              <w:left w:val="single" w:sz="4" w:space="0" w:color="auto"/>
              <w:bottom w:val="nil"/>
              <w:right w:val="single" w:sz="4" w:space="0" w:color="auto"/>
            </w:tcBorders>
            <w:shd w:val="clear" w:color="auto" w:fill="auto"/>
          </w:tcPr>
          <w:p w14:paraId="64A0649E" w14:textId="77777777" w:rsidR="006846CE" w:rsidRPr="000E1912" w:rsidRDefault="00002FBA" w:rsidP="00B74F4D">
            <w:pPr>
              <w:spacing w:after="0"/>
            </w:pPr>
            <w:sdt>
              <w:sdtPr>
                <w:id w:val="-1926569938"/>
                <w14:checkbox>
                  <w14:checked w14:val="0"/>
                  <w14:checkedState w14:val="2612" w14:font="MS Gothic"/>
                  <w14:uncheckedState w14:val="2610" w14:font="MS Gothic"/>
                </w14:checkbox>
              </w:sdtPr>
              <w:sdtEndPr/>
              <w:sdtContent>
                <w:r w:rsidR="00B878FB">
                  <w:rPr>
                    <w:rFonts w:ascii="MS Gothic" w:eastAsia="MS Gothic" w:hAnsi="MS Gothic" w:hint="eastAsia"/>
                  </w:rPr>
                  <w:t>☐</w:t>
                </w:r>
              </w:sdtContent>
            </w:sdt>
            <w:r w:rsidR="006846CE" w:rsidRPr="000E1912">
              <w:t xml:space="preserve"> Medium</w:t>
            </w:r>
          </w:p>
        </w:tc>
        <w:tc>
          <w:tcPr>
            <w:tcW w:w="2394" w:type="dxa"/>
            <w:tcBorders>
              <w:top w:val="nil"/>
              <w:left w:val="single" w:sz="4" w:space="0" w:color="auto"/>
              <w:bottom w:val="nil"/>
              <w:right w:val="single" w:sz="4" w:space="0" w:color="auto"/>
            </w:tcBorders>
            <w:shd w:val="clear" w:color="auto" w:fill="auto"/>
          </w:tcPr>
          <w:p w14:paraId="7840F143" w14:textId="77777777" w:rsidR="006846CE" w:rsidRPr="000E1912" w:rsidRDefault="00002FBA" w:rsidP="00B74F4D">
            <w:pPr>
              <w:spacing w:after="0"/>
            </w:pPr>
            <w:sdt>
              <w:sdtPr>
                <w:id w:val="-1348942719"/>
                <w14:checkbox>
                  <w14:checked w14:val="0"/>
                  <w14:checkedState w14:val="2612" w14:font="MS Gothic"/>
                  <w14:uncheckedState w14:val="2610" w14:font="MS Gothic"/>
                </w14:checkbox>
              </w:sdtPr>
              <w:sdtEndPr/>
              <w:sdtContent>
                <w:r w:rsidR="00EB47BE">
                  <w:rPr>
                    <w:rFonts w:ascii="MS Gothic" w:eastAsia="MS Gothic" w:hAnsi="MS Gothic" w:hint="eastAsia"/>
                  </w:rPr>
                  <w:t>☐</w:t>
                </w:r>
              </w:sdtContent>
            </w:sdt>
            <w:r w:rsidR="006846CE" w:rsidRPr="000E1912">
              <w:t xml:space="preserve"> Near Term</w:t>
            </w:r>
          </w:p>
        </w:tc>
        <w:tc>
          <w:tcPr>
            <w:tcW w:w="2394" w:type="dxa"/>
            <w:tcBorders>
              <w:top w:val="nil"/>
              <w:left w:val="single" w:sz="4" w:space="0" w:color="auto"/>
              <w:bottom w:val="nil"/>
              <w:right w:val="single" w:sz="4" w:space="0" w:color="auto"/>
            </w:tcBorders>
            <w:shd w:val="clear" w:color="auto" w:fill="auto"/>
          </w:tcPr>
          <w:p w14:paraId="6E749ECF" w14:textId="77777777" w:rsidR="006846CE" w:rsidRPr="000E1912" w:rsidRDefault="00002FBA" w:rsidP="00B74F4D">
            <w:pPr>
              <w:spacing w:after="0"/>
            </w:pPr>
            <w:sdt>
              <w:sdtPr>
                <w:id w:val="1589493836"/>
                <w14:checkbox>
                  <w14:checked w14:val="1"/>
                  <w14:checkedState w14:val="2612" w14:font="MS Gothic"/>
                  <w14:uncheckedState w14:val="2610" w14:font="MS Gothic"/>
                </w14:checkbox>
              </w:sdtPr>
              <w:sdtEndPr/>
              <w:sdtContent>
                <w:r w:rsidR="009B74A0">
                  <w:rPr>
                    <w:rFonts w:ascii="MS Gothic" w:eastAsia="MS Gothic" w:hAnsi="MS Gothic" w:hint="eastAsia"/>
                  </w:rPr>
                  <w:t>☒</w:t>
                </w:r>
              </w:sdtContent>
            </w:sdt>
            <w:r w:rsidR="006846CE" w:rsidRPr="000E1912">
              <w:t xml:space="preserve"> Monthly</w:t>
            </w:r>
          </w:p>
        </w:tc>
      </w:tr>
      <w:tr w:rsidR="006846CE" w14:paraId="590B6B2B" w14:textId="77777777" w:rsidTr="00B74F4D">
        <w:tc>
          <w:tcPr>
            <w:tcW w:w="1548" w:type="dxa"/>
            <w:vMerge/>
            <w:tcBorders>
              <w:top w:val="nil"/>
              <w:left w:val="single" w:sz="4" w:space="0" w:color="auto"/>
              <w:bottom w:val="single" w:sz="4" w:space="0" w:color="auto"/>
              <w:right w:val="single" w:sz="4" w:space="0" w:color="auto"/>
            </w:tcBorders>
            <w:shd w:val="clear" w:color="auto" w:fill="auto"/>
          </w:tcPr>
          <w:p w14:paraId="33A4477B" w14:textId="77777777" w:rsidR="006846CE" w:rsidRPr="000E1912" w:rsidRDefault="006846CE" w:rsidP="00B74F4D">
            <w:pPr>
              <w:spacing w:after="0"/>
            </w:pPr>
          </w:p>
        </w:tc>
        <w:tc>
          <w:tcPr>
            <w:tcW w:w="3240" w:type="dxa"/>
            <w:tcBorders>
              <w:top w:val="nil"/>
              <w:left w:val="single" w:sz="4" w:space="0" w:color="auto"/>
              <w:bottom w:val="single" w:sz="4" w:space="0" w:color="auto"/>
              <w:right w:val="single" w:sz="4" w:space="0" w:color="auto"/>
            </w:tcBorders>
            <w:shd w:val="clear" w:color="auto" w:fill="auto"/>
          </w:tcPr>
          <w:p w14:paraId="40570CDB" w14:textId="77777777" w:rsidR="006846CE" w:rsidRPr="000E1912" w:rsidRDefault="00002FBA" w:rsidP="00B74F4D">
            <w:pPr>
              <w:spacing w:after="0"/>
            </w:pPr>
            <w:sdt>
              <w:sdtPr>
                <w:id w:val="-1680497316"/>
                <w14:checkbox>
                  <w14:checked w14:val="0"/>
                  <w14:checkedState w14:val="2612" w14:font="MS Gothic"/>
                  <w14:uncheckedState w14:val="2610" w14:font="MS Gothic"/>
                </w14:checkbox>
              </w:sdtPr>
              <w:sdtEndPr/>
              <w:sdtContent>
                <w:r w:rsidR="00B878FB">
                  <w:rPr>
                    <w:rFonts w:ascii="MS Gothic" w:eastAsia="MS Gothic" w:hAnsi="MS Gothic" w:hint="eastAsia"/>
                  </w:rPr>
                  <w:t>☐</w:t>
                </w:r>
              </w:sdtContent>
            </w:sdt>
            <w:r w:rsidR="006846CE" w:rsidRPr="000E1912">
              <w:t xml:space="preserve"> Low</w:t>
            </w:r>
          </w:p>
        </w:tc>
        <w:tc>
          <w:tcPr>
            <w:tcW w:w="2394" w:type="dxa"/>
            <w:tcBorders>
              <w:top w:val="nil"/>
              <w:left w:val="single" w:sz="4" w:space="0" w:color="auto"/>
              <w:bottom w:val="single" w:sz="4" w:space="0" w:color="auto"/>
              <w:right w:val="single" w:sz="4" w:space="0" w:color="auto"/>
            </w:tcBorders>
            <w:shd w:val="clear" w:color="auto" w:fill="auto"/>
          </w:tcPr>
          <w:p w14:paraId="6694F8DC" w14:textId="77777777" w:rsidR="006846CE" w:rsidRPr="000E1912" w:rsidRDefault="00002FBA" w:rsidP="00B74F4D">
            <w:pPr>
              <w:spacing w:after="0"/>
            </w:pPr>
            <w:sdt>
              <w:sdtPr>
                <w:id w:val="-391891178"/>
                <w14:checkbox>
                  <w14:checked w14:val="0"/>
                  <w14:checkedState w14:val="2612" w14:font="MS Gothic"/>
                  <w14:uncheckedState w14:val="2610" w14:font="MS Gothic"/>
                </w14:checkbox>
              </w:sdtPr>
              <w:sdtEndPr/>
              <w:sdtContent>
                <w:r w:rsidR="00B878FB">
                  <w:rPr>
                    <w:rFonts w:ascii="MS Gothic" w:eastAsia="MS Gothic" w:hAnsi="MS Gothic" w:hint="eastAsia"/>
                  </w:rPr>
                  <w:t>☐</w:t>
                </w:r>
              </w:sdtContent>
            </w:sdt>
            <w:r w:rsidR="006846CE" w:rsidRPr="000E1912">
              <w:t xml:space="preserve"> Far Term</w:t>
            </w:r>
          </w:p>
        </w:tc>
        <w:tc>
          <w:tcPr>
            <w:tcW w:w="2394" w:type="dxa"/>
            <w:tcBorders>
              <w:top w:val="nil"/>
              <w:left w:val="single" w:sz="4" w:space="0" w:color="auto"/>
              <w:bottom w:val="single" w:sz="4" w:space="0" w:color="auto"/>
              <w:right w:val="single" w:sz="4" w:space="0" w:color="auto"/>
            </w:tcBorders>
            <w:shd w:val="clear" w:color="auto" w:fill="auto"/>
          </w:tcPr>
          <w:p w14:paraId="7C1BFED0" w14:textId="77777777" w:rsidR="006846CE" w:rsidRPr="000E1912" w:rsidRDefault="00002FBA" w:rsidP="00B74F4D">
            <w:pPr>
              <w:spacing w:after="0"/>
            </w:pPr>
            <w:sdt>
              <w:sdtPr>
                <w:id w:val="-1761203428"/>
                <w14:checkbox>
                  <w14:checked w14:val="0"/>
                  <w14:checkedState w14:val="2612" w14:font="MS Gothic"/>
                  <w14:uncheckedState w14:val="2610" w14:font="MS Gothic"/>
                </w14:checkbox>
              </w:sdtPr>
              <w:sdtEndPr/>
              <w:sdtContent>
                <w:r w:rsidR="00B878FB">
                  <w:rPr>
                    <w:rFonts w:ascii="MS Gothic" w:eastAsia="MS Gothic" w:hAnsi="MS Gothic" w:hint="eastAsia"/>
                  </w:rPr>
                  <w:t>☐</w:t>
                </w:r>
              </w:sdtContent>
            </w:sdt>
            <w:r w:rsidR="006846CE" w:rsidRPr="000E1912">
              <w:t xml:space="preserve"> Quarterly</w:t>
            </w:r>
          </w:p>
        </w:tc>
      </w:tr>
    </w:tbl>
    <w:p w14:paraId="261B4955" w14:textId="77777777" w:rsidR="004F51E9" w:rsidRDefault="004F51E9" w:rsidP="004F51E9">
      <w:pPr>
        <w:pStyle w:val="SectionHeading"/>
      </w:pPr>
    </w:p>
    <w:p w14:paraId="7FD90D41" w14:textId="77777777" w:rsidR="000130F8" w:rsidRDefault="000130F8" w:rsidP="004F51E9">
      <w:pPr>
        <w:pStyle w:val="SectionHeading"/>
        <w:rPr>
          <w:sz w:val="26"/>
          <w:szCs w:val="26"/>
        </w:rPr>
      </w:pPr>
    </w:p>
    <w:p w14:paraId="44DE6C7A" w14:textId="77777777" w:rsidR="000130F8" w:rsidRPr="000130F8" w:rsidRDefault="0095633F" w:rsidP="004F51E9">
      <w:pPr>
        <w:pStyle w:val="SectionHeading"/>
        <w:rPr>
          <w:sz w:val="16"/>
          <w:szCs w:val="16"/>
        </w:rPr>
      </w:pPr>
      <w:r w:rsidRPr="0095633F">
        <w:rPr>
          <w:sz w:val="26"/>
          <w:szCs w:val="26"/>
        </w:rPr>
        <w:t>Charter</w:t>
      </w:r>
      <w:r w:rsidR="000130F8">
        <w:rPr>
          <w:sz w:val="26"/>
          <w:szCs w:val="26"/>
        </w:rPr>
        <w:t xml:space="preserve"> </w:t>
      </w:r>
      <w:r>
        <w:rPr>
          <w:sz w:val="26"/>
          <w:szCs w:val="26"/>
        </w:rPr>
        <w:br/>
      </w:r>
      <w:r w:rsidR="000130F8" w:rsidRPr="000130F8">
        <w:rPr>
          <w:b w:val="0"/>
          <w:i/>
          <w:sz w:val="26"/>
          <w:szCs w:val="26"/>
        </w:rPr>
        <w:t>(check one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1254"/>
        <w:gridCol w:w="8096"/>
      </w:tblGrid>
      <w:tr w:rsidR="000130F8" w:rsidRPr="00A95519" w14:paraId="5CBF0397" w14:textId="77777777" w:rsidTr="00B878FB">
        <w:tc>
          <w:tcPr>
            <w:tcW w:w="1278" w:type="dxa"/>
            <w:shd w:val="clear" w:color="auto" w:fill="auto"/>
          </w:tcPr>
          <w:p w14:paraId="23F45386" w14:textId="77777777" w:rsidR="000130F8" w:rsidRPr="00A95519" w:rsidRDefault="00002FBA" w:rsidP="00B878FB">
            <w:pPr>
              <w:pStyle w:val="SectionHeading"/>
              <w:spacing w:after="0"/>
              <w:jc w:val="center"/>
              <w:rPr>
                <w:b w:val="0"/>
                <w:sz w:val="24"/>
              </w:rPr>
            </w:pPr>
            <w:sdt>
              <w:sdtPr>
                <w:rPr>
                  <w:b w:val="0"/>
                </w:rPr>
                <w:id w:val="1259945907"/>
                <w14:checkbox>
                  <w14:checked w14:val="0"/>
                  <w14:checkedState w14:val="2612" w14:font="MS Gothic"/>
                  <w14:uncheckedState w14:val="2610" w14:font="MS Gothic"/>
                </w14:checkbox>
              </w:sdtPr>
              <w:sdtEndPr/>
              <w:sdtContent>
                <w:r w:rsidR="00B878FB">
                  <w:rPr>
                    <w:rFonts w:ascii="MS Gothic" w:eastAsia="MS Gothic" w:hAnsi="MS Gothic" w:hint="eastAsia"/>
                    <w:b w:val="0"/>
                  </w:rPr>
                  <w:t>☐</w:t>
                </w:r>
              </w:sdtContent>
            </w:sdt>
          </w:p>
        </w:tc>
        <w:tc>
          <w:tcPr>
            <w:tcW w:w="8298" w:type="dxa"/>
            <w:shd w:val="clear" w:color="auto" w:fill="auto"/>
          </w:tcPr>
          <w:p w14:paraId="6F34EEEE" w14:textId="77777777" w:rsidR="000130F8" w:rsidRPr="00A95519" w:rsidRDefault="000130F8" w:rsidP="00B878FB">
            <w:pPr>
              <w:pStyle w:val="SectionHeading"/>
              <w:spacing w:after="0"/>
              <w:rPr>
                <w:b w:val="0"/>
                <w:szCs w:val="22"/>
              </w:rPr>
            </w:pPr>
            <w:r w:rsidRPr="00A95519">
              <w:rPr>
                <w:b w:val="0"/>
                <w:szCs w:val="22"/>
              </w:rPr>
              <w:t xml:space="preserve">This document will serve as the Charter for a new group created by its approval. </w:t>
            </w:r>
          </w:p>
        </w:tc>
      </w:tr>
      <w:tr w:rsidR="000130F8" w:rsidRPr="00A95519" w14:paraId="4A288A23" w14:textId="77777777" w:rsidTr="00B878FB">
        <w:tc>
          <w:tcPr>
            <w:tcW w:w="1278" w:type="dxa"/>
            <w:shd w:val="clear" w:color="auto" w:fill="auto"/>
          </w:tcPr>
          <w:p w14:paraId="26F99DAF" w14:textId="77777777" w:rsidR="000130F8" w:rsidRPr="00A95519" w:rsidRDefault="00002FBA" w:rsidP="00B878FB">
            <w:pPr>
              <w:pStyle w:val="SectionHeading"/>
              <w:spacing w:after="0"/>
              <w:jc w:val="center"/>
              <w:rPr>
                <w:b w:val="0"/>
                <w:sz w:val="24"/>
              </w:rPr>
            </w:pPr>
            <w:sdt>
              <w:sdtPr>
                <w:rPr>
                  <w:b w:val="0"/>
                </w:rPr>
                <w:id w:val="-60790654"/>
                <w14:checkbox>
                  <w14:checked w14:val="1"/>
                  <w14:checkedState w14:val="2612" w14:font="MS Gothic"/>
                  <w14:uncheckedState w14:val="2610" w14:font="MS Gothic"/>
                </w14:checkbox>
              </w:sdtPr>
              <w:sdtEndPr/>
              <w:sdtContent>
                <w:r w:rsidR="00EB47BE">
                  <w:rPr>
                    <w:rFonts w:ascii="MS Gothic" w:eastAsia="MS Gothic" w:hAnsi="MS Gothic" w:hint="eastAsia"/>
                    <w:b w:val="0"/>
                  </w:rPr>
                  <w:t>☒</w:t>
                </w:r>
              </w:sdtContent>
            </w:sdt>
          </w:p>
        </w:tc>
        <w:tc>
          <w:tcPr>
            <w:tcW w:w="8298" w:type="dxa"/>
            <w:shd w:val="clear" w:color="auto" w:fill="auto"/>
          </w:tcPr>
          <w:p w14:paraId="512316A5" w14:textId="77777777" w:rsidR="000130F8" w:rsidRPr="00A95519" w:rsidRDefault="000130F8" w:rsidP="00B878FB">
            <w:pPr>
              <w:pStyle w:val="SectionHeading"/>
              <w:spacing w:after="0"/>
              <w:rPr>
                <w:b w:val="0"/>
                <w:szCs w:val="22"/>
              </w:rPr>
            </w:pPr>
            <w:r w:rsidRPr="00A95519">
              <w:rPr>
                <w:b w:val="0"/>
                <w:szCs w:val="22"/>
              </w:rPr>
              <w:t xml:space="preserve">This work will be handled in an existing group with its own Charter (and applicable amendments). </w:t>
            </w:r>
          </w:p>
        </w:tc>
      </w:tr>
    </w:tbl>
    <w:p w14:paraId="10484486" w14:textId="77777777" w:rsidR="0095633F" w:rsidRPr="0095633F" w:rsidRDefault="0095633F" w:rsidP="004F51E9">
      <w:pPr>
        <w:pStyle w:val="SectionHeading"/>
        <w:rPr>
          <w:sz w:val="26"/>
          <w:szCs w:val="26"/>
        </w:rPr>
      </w:pPr>
    </w:p>
    <w:p w14:paraId="3F797A0F" w14:textId="77777777" w:rsidR="0095633F" w:rsidRDefault="0095633F" w:rsidP="004F51E9">
      <w:pPr>
        <w:pStyle w:val="SectionHeading"/>
        <w:rPr>
          <w:b w:val="0"/>
          <w:i/>
        </w:rPr>
      </w:pPr>
    </w:p>
    <w:p w14:paraId="324C5FD3" w14:textId="77777777" w:rsidR="004F51E9" w:rsidRDefault="004F51E9" w:rsidP="004F51E9">
      <w:pPr>
        <w:pStyle w:val="SectionHeading"/>
        <w:rPr>
          <w:b w:val="0"/>
          <w:i/>
        </w:rPr>
      </w:pPr>
      <w:r>
        <w:rPr>
          <w:b w:val="0"/>
          <w:i/>
        </w:rPr>
        <w:t>More detail available in M34; Section 6</w:t>
      </w:r>
      <w:r w:rsidR="0095633F">
        <w:rPr>
          <w:b w:val="0"/>
          <w:i/>
        </w:rPr>
        <w:t xml:space="preserve"> </w:t>
      </w:r>
      <w:r>
        <w:rPr>
          <w:b w:val="0"/>
          <w:i/>
        </w:rPr>
        <w:br/>
      </w:r>
    </w:p>
    <w:p w14:paraId="3704FB58" w14:textId="77777777" w:rsidR="00184C5F" w:rsidRDefault="00184C5F">
      <w:pPr>
        <w:rPr>
          <w:rFonts w:ascii="Arial" w:hAnsi="Arial" w:cs="Arial"/>
          <w:sz w:val="20"/>
          <w:szCs w:val="20"/>
        </w:rPr>
      </w:pPr>
    </w:p>
    <w:sectPr w:rsidR="00184C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6D0E4" w14:textId="77777777" w:rsidR="005F468F" w:rsidRDefault="005F468F">
      <w:pPr>
        <w:spacing w:after="0" w:line="240" w:lineRule="auto"/>
      </w:pPr>
      <w:r>
        <w:separator/>
      </w:r>
    </w:p>
  </w:endnote>
  <w:endnote w:type="continuationSeparator" w:id="0">
    <w:p w14:paraId="45B49F7E" w14:textId="77777777" w:rsidR="005F468F" w:rsidRDefault="005F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0EE1" w14:textId="1AEF2D72" w:rsidR="00DB1340" w:rsidRDefault="00DB1340">
    <w:pPr>
      <w:pStyle w:val="Footer"/>
      <w:pBdr>
        <w:top w:val="single" w:sz="4" w:space="1" w:color="D9D9D9"/>
      </w:pBdr>
      <w:jc w:val="right"/>
    </w:pPr>
    <w:r>
      <w:t>PJM © 2021</w:t>
    </w:r>
    <w:r>
      <w:tab/>
      <w:t xml:space="preserve"> </w:t>
    </w:r>
    <w:r>
      <w:rPr>
        <w:sz w:val="20"/>
      </w:rPr>
      <w:t>For Public Use</w:t>
    </w:r>
    <w:r>
      <w:tab/>
    </w:r>
    <w:r>
      <w:fldChar w:fldCharType="begin"/>
    </w:r>
    <w:r>
      <w:instrText xml:space="preserve"> PAGE   \* MERGEFORMAT </w:instrText>
    </w:r>
    <w:r>
      <w:fldChar w:fldCharType="separate"/>
    </w:r>
    <w:r w:rsidR="00002FBA">
      <w:rPr>
        <w:noProof/>
      </w:rPr>
      <w:t>1</w:t>
    </w:r>
    <w:r>
      <w:fldChar w:fldCharType="end"/>
    </w:r>
    <w:r>
      <w:t xml:space="preserve"> | </w:t>
    </w:r>
    <w:r>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722D3" w14:textId="77777777" w:rsidR="005F468F" w:rsidRDefault="005F468F">
      <w:pPr>
        <w:spacing w:after="0" w:line="240" w:lineRule="auto"/>
      </w:pPr>
      <w:r>
        <w:separator/>
      </w:r>
    </w:p>
  </w:footnote>
  <w:footnote w:type="continuationSeparator" w:id="0">
    <w:p w14:paraId="06CA0AD8" w14:textId="77777777" w:rsidR="005F468F" w:rsidRDefault="005F468F">
      <w:pPr>
        <w:spacing w:after="0" w:line="240" w:lineRule="auto"/>
      </w:pPr>
      <w:r>
        <w:continuationSeparator/>
      </w:r>
    </w:p>
  </w:footnote>
  <w:footnote w:id="1">
    <w:p w14:paraId="54F48FA1" w14:textId="63EA73F2" w:rsidR="00DB1340" w:rsidRDefault="00DB1340">
      <w:pPr>
        <w:pStyle w:val="FootnoteText"/>
      </w:pPr>
      <w:r>
        <w:rPr>
          <w:rStyle w:val="FootnoteReference"/>
        </w:rPr>
        <w:footnoteRef/>
      </w:r>
      <w:r>
        <w:t xml:space="preserve"> A series of </w:t>
      </w:r>
      <w:r w:rsidR="00627539">
        <w:t>nine</w:t>
      </w:r>
      <w:r>
        <w:t xml:space="preserve"> Capacity Market Workshops were held between February and October, 2021.</w:t>
      </w:r>
    </w:p>
  </w:footnote>
  <w:footnote w:id="2">
    <w:p w14:paraId="4536FF16" w14:textId="287DACB9" w:rsidR="00DB1340" w:rsidRDefault="00DB1340" w:rsidP="005F5878">
      <w:pPr>
        <w:pStyle w:val="FootnoteText"/>
      </w:pPr>
      <w:r>
        <w:rPr>
          <w:rStyle w:val="FootnoteReference"/>
        </w:rPr>
        <w:footnoteRef/>
      </w:r>
      <w:r>
        <w:t xml:space="preserve"> This topic includes Phase 2 work from the Capacity Capability Senior Task Force focuse</w:t>
      </w:r>
      <w:r w:rsidR="007450A2">
        <w:t>d</w:t>
      </w:r>
      <w:r>
        <w:t xml:space="preserve"> on energy market must offer requirements for limited duration resources (</w:t>
      </w:r>
      <w:hyperlink r:id="rId1" w:history="1">
        <w:r w:rsidRPr="000E0ACF">
          <w:rPr>
            <w:rStyle w:val="Hyperlink"/>
          </w:rPr>
          <w:t>https://www.pjm.com/-/media/committees-groups/task-forces/ccstf/2021/20210922/20210922-item-02a-issue-charge.ashx</w:t>
        </w:r>
      </w:hyperlink>
      <w:r>
        <w:t>)</w:t>
      </w:r>
      <w:r w:rsidR="00270305">
        <w:t xml:space="preserve">, </w:t>
      </w:r>
      <w:r w:rsidR="00F87707">
        <w:t>as well as</w:t>
      </w:r>
      <w:r w:rsidR="00270305">
        <w:t xml:space="preserve"> the review of operational requirements for such resources that was agreed to by the Members Committee (</w:t>
      </w:r>
      <w:hyperlink r:id="rId2" w:history="1">
        <w:r w:rsidR="00270305" w:rsidRPr="00C06526">
          <w:rPr>
            <w:rStyle w:val="Hyperlink"/>
          </w:rPr>
          <w:t>https://www.pjm.com/-/media/committees-groups/committees/mc/2020/20200917/20200917-item-01-alternate-motion-amendment-to-joint-stakeholder-package.ashx</w:t>
        </w:r>
      </w:hyperlink>
      <w:r w:rsidR="00270305">
        <w:t>)</w:t>
      </w:r>
      <w:r>
        <w:t>.</w:t>
      </w:r>
    </w:p>
  </w:footnote>
  <w:footnote w:id="3">
    <w:p w14:paraId="498B6B53" w14:textId="7CFB7757" w:rsidR="006D6628" w:rsidRDefault="006D6628">
      <w:pPr>
        <w:pStyle w:val="FootnoteText"/>
      </w:pPr>
      <w:r>
        <w:rPr>
          <w:rStyle w:val="FootnoteReference"/>
        </w:rPr>
        <w:footnoteRef/>
      </w:r>
      <w:r>
        <w:t xml:space="preserve"> </w:t>
      </w:r>
      <w:r w:rsidRPr="006D6628">
        <w:t xml:space="preserve">Such </w:t>
      </w:r>
      <w:r w:rsidR="009E01E5">
        <w:t xml:space="preserve">a </w:t>
      </w:r>
      <w:r w:rsidRPr="006D6628">
        <w:t xml:space="preserve">vote </w:t>
      </w:r>
      <w:r w:rsidR="000D6E2F">
        <w:t xml:space="preserve">of the RASTF </w:t>
      </w:r>
      <w:r w:rsidRPr="006D6628">
        <w:t>will move solutions forward</w:t>
      </w:r>
      <w:r w:rsidR="000D6E2F">
        <w:t xml:space="preserve"> to the Markets &amp; Reliability Committee (MRC)</w:t>
      </w:r>
      <w:r w:rsidRPr="006D6628">
        <w:t xml:space="preserve"> on the topic at hand based on content of the matrix.</w:t>
      </w:r>
    </w:p>
  </w:footnote>
  <w:footnote w:id="4">
    <w:p w14:paraId="6D033CA6" w14:textId="34057876" w:rsidR="009E01E5" w:rsidRDefault="009E01E5">
      <w:pPr>
        <w:pStyle w:val="FootnoteText"/>
      </w:pPr>
      <w:r>
        <w:rPr>
          <w:rStyle w:val="FootnoteReference"/>
        </w:rPr>
        <w:footnoteRef/>
      </w:r>
      <w:r>
        <w:t xml:space="preserve"> A separate issue charge for the appropriate stakeholder venue will be developed</w:t>
      </w:r>
      <w:r w:rsidR="000D6E2F">
        <w:t xml:space="preserve"> for consideration by the MRC</w:t>
      </w:r>
      <w:r>
        <w:t xml:space="preserve"> if the determination results in additional scope. </w:t>
      </w:r>
    </w:p>
  </w:footnote>
  <w:footnote w:id="5">
    <w:p w14:paraId="69E4C289" w14:textId="77777777" w:rsidR="00CF2ABA" w:rsidRDefault="00CF2ABA" w:rsidP="00CF2ABA">
      <w:pPr>
        <w:pStyle w:val="FootnoteText"/>
      </w:pPr>
      <w:r>
        <w:rPr>
          <w:rStyle w:val="FootnoteReference"/>
        </w:rPr>
        <w:footnoteRef/>
      </w:r>
      <w:r>
        <w:t xml:space="preserve"> Includes CCSTF Phase 2 scope.</w:t>
      </w:r>
    </w:p>
  </w:footnote>
  <w:footnote w:id="6">
    <w:p w14:paraId="6EA44B93" w14:textId="60F4C237" w:rsidR="00D008AF" w:rsidRDefault="00D008AF">
      <w:pPr>
        <w:pStyle w:val="FootnoteText"/>
      </w:pPr>
      <w:r>
        <w:rPr>
          <w:rStyle w:val="FootnoteReference"/>
        </w:rPr>
        <w:footnoteRef/>
      </w:r>
      <w:r>
        <w:t xml:space="preserve"> </w:t>
      </w:r>
      <w:r w:rsidRPr="00D008AF">
        <w:t xml:space="preserve">Such a vote </w:t>
      </w:r>
      <w:r w:rsidR="000D6E2F">
        <w:t xml:space="preserve">of the RASTF </w:t>
      </w:r>
      <w:r w:rsidRPr="00D008AF">
        <w:t xml:space="preserve">will move solutions forward </w:t>
      </w:r>
      <w:r w:rsidR="000D6E2F">
        <w:t xml:space="preserve">to the MRC </w:t>
      </w:r>
      <w:r w:rsidRPr="00D008AF">
        <w:t>on the topic at hand based on content of the matrix.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428D" w14:textId="77777777" w:rsidR="00DB1340" w:rsidRDefault="00DB1340">
    <w:pPr>
      <w:pStyle w:val="Heading1"/>
      <w:jc w:val="right"/>
    </w:pPr>
    <w:r>
      <w:rPr>
        <w:noProof/>
      </w:rPr>
      <w:drawing>
        <wp:anchor distT="0" distB="0" distL="114300" distR="114300" simplePos="0" relativeHeight="251657728" behindDoc="0" locked="0" layoutInCell="1" allowOverlap="1" wp14:anchorId="3FB5D646" wp14:editId="3DE9FF51">
          <wp:simplePos x="0" y="0"/>
          <wp:positionH relativeFrom="column">
            <wp:posOffset>-205047</wp:posOffset>
          </wp:positionH>
          <wp:positionV relativeFrom="paragraph">
            <wp:posOffset>-139109</wp:posOffset>
          </wp:positionV>
          <wp:extent cx="1490749" cy="558439"/>
          <wp:effectExtent l="0" t="0" r="0" b="0"/>
          <wp:wrapNone/>
          <wp:docPr id="1" name="Picture 1" descr="pjm-logo2c-withCircl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m-logo2c-withCircleR-01"/>
                  <pic:cNvPicPr>
                    <a:picLocks noChangeAspect="1" noChangeArrowheads="1"/>
                  </pic:cNvPicPr>
                </pic:nvPicPr>
                <pic:blipFill>
                  <a:blip r:embed="rId1">
                    <a:extLst>
                      <a:ext uri="{28A0092B-C50C-407E-A947-70E740481C1C}">
                        <a14:useLocalDpi xmlns:a14="http://schemas.microsoft.com/office/drawing/2010/main" val="0"/>
                      </a:ext>
                    </a:extLst>
                  </a:blip>
                  <a:srcRect l="20235" t="38091" r="19412" b="44455"/>
                  <a:stretch>
                    <a:fillRect/>
                  </a:stretch>
                </pic:blipFill>
                <pic:spPr bwMode="auto">
                  <a:xfrm>
                    <a:off x="0" y="0"/>
                    <a:ext cx="1498155" cy="561213"/>
                  </a:xfrm>
                  <a:prstGeom prst="rect">
                    <a:avLst/>
                  </a:prstGeom>
                  <a:noFill/>
                  <a:ln>
                    <a:noFill/>
                  </a:ln>
                </pic:spPr>
              </pic:pic>
            </a:graphicData>
          </a:graphic>
          <wp14:sizeRelH relativeFrom="page">
            <wp14:pctWidth>0</wp14:pctWidth>
          </wp14:sizeRelH>
          <wp14:sizeRelV relativeFrom="page">
            <wp14:pctHeight>0</wp14:pctHeight>
          </wp14:sizeRelV>
        </wp:anchor>
      </w:drawing>
    </w:r>
    <w:r>
      <w:tab/>
      <w:t>Issue Charge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84D"/>
    <w:multiLevelType w:val="hybridMultilevel"/>
    <w:tmpl w:val="9F782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4A65FC"/>
    <w:multiLevelType w:val="hybridMultilevel"/>
    <w:tmpl w:val="7FC64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E973F5"/>
    <w:multiLevelType w:val="hybridMultilevel"/>
    <w:tmpl w:val="C21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D175A2"/>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61C8F"/>
    <w:multiLevelType w:val="hybridMultilevel"/>
    <w:tmpl w:val="B1803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33267"/>
    <w:multiLevelType w:val="hybridMultilevel"/>
    <w:tmpl w:val="AEFC6F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E1DC4"/>
    <w:multiLevelType w:val="hybridMultilevel"/>
    <w:tmpl w:val="1CA8C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BE0D95"/>
    <w:multiLevelType w:val="hybridMultilevel"/>
    <w:tmpl w:val="9196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4799F"/>
    <w:multiLevelType w:val="hybridMultilevel"/>
    <w:tmpl w:val="36F2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A5382"/>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1588E"/>
    <w:multiLevelType w:val="hybridMultilevel"/>
    <w:tmpl w:val="1CC04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614A7"/>
    <w:multiLevelType w:val="hybridMultilevel"/>
    <w:tmpl w:val="1CC04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6F3E"/>
    <w:multiLevelType w:val="hybridMultilevel"/>
    <w:tmpl w:val="D6E819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0B669C"/>
    <w:multiLevelType w:val="hybridMultilevel"/>
    <w:tmpl w:val="9AAAF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C3ABC"/>
    <w:multiLevelType w:val="hybridMultilevel"/>
    <w:tmpl w:val="098A3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70125"/>
    <w:multiLevelType w:val="hybridMultilevel"/>
    <w:tmpl w:val="2DCE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A1CB3"/>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996A08"/>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6347F2"/>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63612B"/>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A65530"/>
    <w:multiLevelType w:val="hybridMultilevel"/>
    <w:tmpl w:val="D2EA03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50B43"/>
    <w:multiLevelType w:val="hybridMultilevel"/>
    <w:tmpl w:val="60FC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5753CF"/>
    <w:multiLevelType w:val="hybridMultilevel"/>
    <w:tmpl w:val="EE1E7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F0F3F"/>
    <w:multiLevelType w:val="hybridMultilevel"/>
    <w:tmpl w:val="DACC5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3069B7"/>
    <w:multiLevelType w:val="hybridMultilevel"/>
    <w:tmpl w:val="55528B84"/>
    <w:lvl w:ilvl="0" w:tplc="BEA40A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65DFA"/>
    <w:multiLevelType w:val="hybridMultilevel"/>
    <w:tmpl w:val="1316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
  </w:num>
  <w:num w:numId="8">
    <w:abstractNumId w:val="12"/>
  </w:num>
  <w:num w:numId="9">
    <w:abstractNumId w:val="0"/>
  </w:num>
  <w:num w:numId="10">
    <w:abstractNumId w:val="2"/>
  </w:num>
  <w:num w:numId="11">
    <w:abstractNumId w:val="21"/>
  </w:num>
  <w:num w:numId="12">
    <w:abstractNumId w:val="9"/>
  </w:num>
  <w:num w:numId="13">
    <w:abstractNumId w:val="23"/>
  </w:num>
  <w:num w:numId="14">
    <w:abstractNumId w:val="18"/>
  </w:num>
  <w:num w:numId="15">
    <w:abstractNumId w:val="19"/>
  </w:num>
  <w:num w:numId="16">
    <w:abstractNumId w:val="3"/>
  </w:num>
  <w:num w:numId="17">
    <w:abstractNumId w:val="17"/>
  </w:num>
  <w:num w:numId="18">
    <w:abstractNumId w:val="16"/>
  </w:num>
  <w:num w:numId="19">
    <w:abstractNumId w:val="1"/>
  </w:num>
  <w:num w:numId="20">
    <w:abstractNumId w:val="15"/>
  </w:num>
  <w:num w:numId="21">
    <w:abstractNumId w:val="14"/>
  </w:num>
  <w:num w:numId="22">
    <w:abstractNumId w:val="11"/>
  </w:num>
  <w:num w:numId="23">
    <w:abstractNumId w:val="22"/>
  </w:num>
  <w:num w:numId="24">
    <w:abstractNumId w:val="8"/>
  </w:num>
  <w:num w:numId="25">
    <w:abstractNumId w:val="20"/>
  </w:num>
  <w:num w:numId="26">
    <w:abstractNumId w:val="25"/>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82"/>
    <w:rsid w:val="00002FBA"/>
    <w:rsid w:val="000130F8"/>
    <w:rsid w:val="000352A4"/>
    <w:rsid w:val="000415CB"/>
    <w:rsid w:val="000437F2"/>
    <w:rsid w:val="00043D30"/>
    <w:rsid w:val="00057014"/>
    <w:rsid w:val="00064671"/>
    <w:rsid w:val="00076D88"/>
    <w:rsid w:val="0008090C"/>
    <w:rsid w:val="00085F26"/>
    <w:rsid w:val="000A6F9C"/>
    <w:rsid w:val="000B2F32"/>
    <w:rsid w:val="000B3216"/>
    <w:rsid w:val="000D6757"/>
    <w:rsid w:val="000D6CC7"/>
    <w:rsid w:val="000D6E2F"/>
    <w:rsid w:val="000E407A"/>
    <w:rsid w:val="000F70CE"/>
    <w:rsid w:val="001137DA"/>
    <w:rsid w:val="00114E7E"/>
    <w:rsid w:val="00124FF6"/>
    <w:rsid w:val="00152823"/>
    <w:rsid w:val="00161FDC"/>
    <w:rsid w:val="00184C5F"/>
    <w:rsid w:val="001873E5"/>
    <w:rsid w:val="001B7C34"/>
    <w:rsid w:val="001C0DE6"/>
    <w:rsid w:val="001C7529"/>
    <w:rsid w:val="0020197E"/>
    <w:rsid w:val="00210E73"/>
    <w:rsid w:val="00221B32"/>
    <w:rsid w:val="00224F14"/>
    <w:rsid w:val="002511BD"/>
    <w:rsid w:val="00270305"/>
    <w:rsid w:val="002C300B"/>
    <w:rsid w:val="002C5A97"/>
    <w:rsid w:val="002C602A"/>
    <w:rsid w:val="002D1A2B"/>
    <w:rsid w:val="002F1EE1"/>
    <w:rsid w:val="002F495E"/>
    <w:rsid w:val="00305CCA"/>
    <w:rsid w:val="00312534"/>
    <w:rsid w:val="00331CB3"/>
    <w:rsid w:val="00345690"/>
    <w:rsid w:val="0036033C"/>
    <w:rsid w:val="003718D9"/>
    <w:rsid w:val="0038157D"/>
    <w:rsid w:val="003A58E9"/>
    <w:rsid w:val="003A72A6"/>
    <w:rsid w:val="003C0BC3"/>
    <w:rsid w:val="003E7CFD"/>
    <w:rsid w:val="00400DBA"/>
    <w:rsid w:val="0043021D"/>
    <w:rsid w:val="00430C7B"/>
    <w:rsid w:val="0043640B"/>
    <w:rsid w:val="0044439B"/>
    <w:rsid w:val="00445F1F"/>
    <w:rsid w:val="004465C5"/>
    <w:rsid w:val="004470CB"/>
    <w:rsid w:val="00481AAA"/>
    <w:rsid w:val="004850E4"/>
    <w:rsid w:val="004D0A75"/>
    <w:rsid w:val="004E05D7"/>
    <w:rsid w:val="004E140C"/>
    <w:rsid w:val="004E52C3"/>
    <w:rsid w:val="004E5D82"/>
    <w:rsid w:val="004F51E9"/>
    <w:rsid w:val="004F7F27"/>
    <w:rsid w:val="00512FDD"/>
    <w:rsid w:val="005376E4"/>
    <w:rsid w:val="0054166C"/>
    <w:rsid w:val="0054346A"/>
    <w:rsid w:val="00544A39"/>
    <w:rsid w:val="00546FC8"/>
    <w:rsid w:val="00575851"/>
    <w:rsid w:val="00577EA0"/>
    <w:rsid w:val="00595B4E"/>
    <w:rsid w:val="005A4543"/>
    <w:rsid w:val="005B3A70"/>
    <w:rsid w:val="005C0D3F"/>
    <w:rsid w:val="005C4085"/>
    <w:rsid w:val="005C760D"/>
    <w:rsid w:val="005E2C25"/>
    <w:rsid w:val="005E6951"/>
    <w:rsid w:val="005F2711"/>
    <w:rsid w:val="005F468F"/>
    <w:rsid w:val="005F5878"/>
    <w:rsid w:val="00615496"/>
    <w:rsid w:val="006239CC"/>
    <w:rsid w:val="00626FBA"/>
    <w:rsid w:val="00627539"/>
    <w:rsid w:val="00627DAB"/>
    <w:rsid w:val="00636417"/>
    <w:rsid w:val="00650A1C"/>
    <w:rsid w:val="00665E18"/>
    <w:rsid w:val="00680157"/>
    <w:rsid w:val="006846CE"/>
    <w:rsid w:val="00692E20"/>
    <w:rsid w:val="00697359"/>
    <w:rsid w:val="006A0DFD"/>
    <w:rsid w:val="006B0F37"/>
    <w:rsid w:val="006D6628"/>
    <w:rsid w:val="006E4114"/>
    <w:rsid w:val="006E788B"/>
    <w:rsid w:val="006F21A2"/>
    <w:rsid w:val="00703718"/>
    <w:rsid w:val="00704CCA"/>
    <w:rsid w:val="00726CE8"/>
    <w:rsid w:val="00742231"/>
    <w:rsid w:val="007450A2"/>
    <w:rsid w:val="0076529A"/>
    <w:rsid w:val="00774AE9"/>
    <w:rsid w:val="00792193"/>
    <w:rsid w:val="007B3098"/>
    <w:rsid w:val="007E6651"/>
    <w:rsid w:val="00803CD6"/>
    <w:rsid w:val="00806FD9"/>
    <w:rsid w:val="00814676"/>
    <w:rsid w:val="008238A1"/>
    <w:rsid w:val="008340E4"/>
    <w:rsid w:val="0084430D"/>
    <w:rsid w:val="00844E6D"/>
    <w:rsid w:val="0085054F"/>
    <w:rsid w:val="00851547"/>
    <w:rsid w:val="00864152"/>
    <w:rsid w:val="00864B67"/>
    <w:rsid w:val="00867F8E"/>
    <w:rsid w:val="00876F59"/>
    <w:rsid w:val="008A3E44"/>
    <w:rsid w:val="008B16A7"/>
    <w:rsid w:val="008B39BC"/>
    <w:rsid w:val="008F2905"/>
    <w:rsid w:val="008F46A1"/>
    <w:rsid w:val="00906BA6"/>
    <w:rsid w:val="00916A15"/>
    <w:rsid w:val="0092493F"/>
    <w:rsid w:val="00934A72"/>
    <w:rsid w:val="00946849"/>
    <w:rsid w:val="0095633F"/>
    <w:rsid w:val="009A1799"/>
    <w:rsid w:val="009A1BBF"/>
    <w:rsid w:val="009A3A03"/>
    <w:rsid w:val="009B5954"/>
    <w:rsid w:val="009B74A0"/>
    <w:rsid w:val="009E01E5"/>
    <w:rsid w:val="00A013F4"/>
    <w:rsid w:val="00A07B73"/>
    <w:rsid w:val="00A2091D"/>
    <w:rsid w:val="00A36DF6"/>
    <w:rsid w:val="00A64FD4"/>
    <w:rsid w:val="00A7075B"/>
    <w:rsid w:val="00A95519"/>
    <w:rsid w:val="00AA3283"/>
    <w:rsid w:val="00AA41CD"/>
    <w:rsid w:val="00AB1798"/>
    <w:rsid w:val="00AB3028"/>
    <w:rsid w:val="00AC08D1"/>
    <w:rsid w:val="00AC3500"/>
    <w:rsid w:val="00AC3666"/>
    <w:rsid w:val="00B06244"/>
    <w:rsid w:val="00B16635"/>
    <w:rsid w:val="00B21D48"/>
    <w:rsid w:val="00B24A67"/>
    <w:rsid w:val="00B37034"/>
    <w:rsid w:val="00B41151"/>
    <w:rsid w:val="00B562CC"/>
    <w:rsid w:val="00B56B23"/>
    <w:rsid w:val="00B64565"/>
    <w:rsid w:val="00B74F4D"/>
    <w:rsid w:val="00B8762F"/>
    <w:rsid w:val="00B878FB"/>
    <w:rsid w:val="00BA0EE4"/>
    <w:rsid w:val="00BC5EFF"/>
    <w:rsid w:val="00BD2AFE"/>
    <w:rsid w:val="00BD3B14"/>
    <w:rsid w:val="00BD56A5"/>
    <w:rsid w:val="00C10029"/>
    <w:rsid w:val="00C36A12"/>
    <w:rsid w:val="00C37A6D"/>
    <w:rsid w:val="00CA62E8"/>
    <w:rsid w:val="00CC4602"/>
    <w:rsid w:val="00CD6B59"/>
    <w:rsid w:val="00CF2ABA"/>
    <w:rsid w:val="00CF5D33"/>
    <w:rsid w:val="00D008AF"/>
    <w:rsid w:val="00D04BA2"/>
    <w:rsid w:val="00D30A10"/>
    <w:rsid w:val="00D378A4"/>
    <w:rsid w:val="00D640B0"/>
    <w:rsid w:val="00D94ABE"/>
    <w:rsid w:val="00DB0AAF"/>
    <w:rsid w:val="00DB1340"/>
    <w:rsid w:val="00DC4BBE"/>
    <w:rsid w:val="00E073E7"/>
    <w:rsid w:val="00E114AB"/>
    <w:rsid w:val="00E31FF1"/>
    <w:rsid w:val="00E34A9A"/>
    <w:rsid w:val="00E44269"/>
    <w:rsid w:val="00E7037C"/>
    <w:rsid w:val="00E87905"/>
    <w:rsid w:val="00EB47BE"/>
    <w:rsid w:val="00ED53FD"/>
    <w:rsid w:val="00F208CB"/>
    <w:rsid w:val="00F2333C"/>
    <w:rsid w:val="00F30E29"/>
    <w:rsid w:val="00F40DBF"/>
    <w:rsid w:val="00F61D82"/>
    <w:rsid w:val="00F61DD2"/>
    <w:rsid w:val="00F65C12"/>
    <w:rsid w:val="00F67C33"/>
    <w:rsid w:val="00F71CED"/>
    <w:rsid w:val="00F72049"/>
    <w:rsid w:val="00F723B2"/>
    <w:rsid w:val="00F74C32"/>
    <w:rsid w:val="00F83838"/>
    <w:rsid w:val="00F87707"/>
    <w:rsid w:val="00F9351F"/>
    <w:rsid w:val="00FA4C53"/>
    <w:rsid w:val="00FA55C4"/>
    <w:rsid w:val="00FD43EF"/>
    <w:rsid w:val="00FE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103EBB"/>
  <w15:docId w15:val="{177C134F-CD35-486D-8A83-98B6EE3F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Narrow" w:hAnsi="Arial Narrow"/>
      <w:sz w:val="22"/>
      <w:szCs w:val="22"/>
    </w:rPr>
  </w:style>
  <w:style w:type="paragraph" w:styleId="Heading1">
    <w:name w:val="heading 1"/>
    <w:basedOn w:val="Normal"/>
    <w:next w:val="Normal"/>
    <w:link w:val="Heading1Char"/>
    <w:uiPriority w:val="9"/>
    <w:qFormat/>
    <w:pPr>
      <w:keepNext/>
      <w:spacing w:before="240" w:after="60"/>
      <w:outlineLvl w:val="0"/>
    </w:pPr>
    <w:rPr>
      <w:rFonts w:eastAsia="Times New Roman"/>
      <w:b/>
      <w:bCs/>
      <w:color w:val="1F497D"/>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eastAsia="Times New Roman"/>
      <w:b/>
      <w:bCs/>
      <w:i/>
      <w:iCs/>
      <w:color w:val="7F7F7F"/>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200" w:line="276" w:lineRule="auto"/>
    </w:pPr>
    <w:rPr>
      <w:rFonts w:ascii="Arial" w:eastAsia="Times New Roman" w:hAnsi="Arial" w:cs="Arial"/>
      <w:color w:val="000000"/>
      <w:sz w:val="24"/>
      <w:szCs w:val="24"/>
      <w:lang w:bidi="en-US"/>
    </w:rPr>
  </w:style>
  <w:style w:type="paragraph" w:customStyle="1" w:styleId="SectionHeading">
    <w:name w:val="Section Heading"/>
    <w:basedOn w:val="Default"/>
    <w:qFormat/>
    <w:rPr>
      <w:rFonts w:ascii="Arial Narrow" w:hAnsi="Arial Narrow"/>
      <w:b/>
      <w:bCs/>
      <w:sz w:val="22"/>
    </w:rPr>
  </w:style>
  <w:style w:type="character" w:customStyle="1" w:styleId="Heading1Char">
    <w:name w:val="Heading 1 Char"/>
    <w:link w:val="Heading1"/>
    <w:uiPriority w:val="9"/>
    <w:rPr>
      <w:rFonts w:ascii="Arial Narrow" w:eastAsia="Times New Roman" w:hAnsi="Arial Narrow" w:cs="Times New Roman"/>
      <w:b/>
      <w:bCs/>
      <w:color w:val="1F497D"/>
      <w:kern w:val="32"/>
      <w:sz w:val="32"/>
      <w:szCs w:val="32"/>
    </w:rPr>
  </w:style>
  <w:style w:type="character" w:customStyle="1" w:styleId="Heading2Char">
    <w:name w:val="Heading 2 Char"/>
    <w:link w:val="Heading2"/>
    <w:uiPriority w:val="9"/>
    <w:rPr>
      <w:rFonts w:ascii="Arial Narrow" w:eastAsia="Times New Roman" w:hAnsi="Arial Narrow" w:cs="Times New Roman"/>
      <w:b/>
      <w:bCs/>
      <w:i/>
      <w:iCs/>
      <w:color w:val="7F7F7F"/>
      <w:sz w:val="28"/>
      <w:szCs w:val="28"/>
    </w:rPr>
  </w:style>
  <w:style w:type="character" w:customStyle="1" w:styleId="Heading3Char">
    <w:name w:val="Heading 3 Char"/>
    <w:link w:val="Heading3"/>
    <w:uiPriority w:val="9"/>
    <w:rPr>
      <w:rFonts w:ascii="Arial Narrow" w:eastAsia="Times New Roman" w:hAnsi="Arial Narrow" w:cs="Times New Roman"/>
      <w:b/>
      <w:bCs/>
      <w:sz w:val="26"/>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Arial Narrow" w:hAnsi="Arial Narrow"/>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Arial Narrow" w:hAnsi="Arial Narrow"/>
      <w:sz w:val="22"/>
      <w:szCs w:val="22"/>
    </w:rPr>
  </w:style>
  <w:style w:type="table" w:styleId="TableGrid">
    <w:name w:val="Table Grid"/>
    <w:basedOn w:val="TableNormal"/>
    <w:uiPriority w:val="59"/>
    <w:rsid w:val="00013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846CE"/>
    <w:rPr>
      <w:color w:val="808080"/>
    </w:rPr>
  </w:style>
  <w:style w:type="paragraph" w:styleId="BalloonText">
    <w:name w:val="Balloon Text"/>
    <w:basedOn w:val="Normal"/>
    <w:link w:val="BalloonTextChar"/>
    <w:uiPriority w:val="99"/>
    <w:semiHidden/>
    <w:unhideWhenUsed/>
    <w:rsid w:val="00B8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FB"/>
    <w:rPr>
      <w:rFonts w:ascii="Tahoma" w:hAnsi="Tahoma" w:cs="Tahoma"/>
      <w:sz w:val="16"/>
      <w:szCs w:val="16"/>
    </w:rPr>
  </w:style>
  <w:style w:type="paragraph" w:styleId="ListParagraph">
    <w:name w:val="List Paragraph"/>
    <w:basedOn w:val="Normal"/>
    <w:uiPriority w:val="34"/>
    <w:qFormat/>
    <w:rsid w:val="005A4543"/>
    <w:pPr>
      <w:ind w:left="720"/>
      <w:contextualSpacing/>
    </w:pPr>
  </w:style>
  <w:style w:type="character" w:styleId="CommentReference">
    <w:name w:val="annotation reference"/>
    <w:basedOn w:val="DefaultParagraphFont"/>
    <w:uiPriority w:val="99"/>
    <w:semiHidden/>
    <w:unhideWhenUsed/>
    <w:rsid w:val="00DB0AAF"/>
    <w:rPr>
      <w:sz w:val="16"/>
      <w:szCs w:val="16"/>
    </w:rPr>
  </w:style>
  <w:style w:type="paragraph" w:styleId="CommentText">
    <w:name w:val="annotation text"/>
    <w:basedOn w:val="Normal"/>
    <w:link w:val="CommentTextChar"/>
    <w:uiPriority w:val="99"/>
    <w:semiHidden/>
    <w:unhideWhenUsed/>
    <w:rsid w:val="00DB0AAF"/>
    <w:pPr>
      <w:spacing w:line="240" w:lineRule="auto"/>
    </w:pPr>
    <w:rPr>
      <w:sz w:val="20"/>
      <w:szCs w:val="20"/>
    </w:rPr>
  </w:style>
  <w:style w:type="character" w:customStyle="1" w:styleId="CommentTextChar">
    <w:name w:val="Comment Text Char"/>
    <w:basedOn w:val="DefaultParagraphFont"/>
    <w:link w:val="CommentText"/>
    <w:uiPriority w:val="99"/>
    <w:semiHidden/>
    <w:rsid w:val="00DB0AAF"/>
    <w:rPr>
      <w:rFonts w:ascii="Arial Narrow" w:hAnsi="Arial Narrow"/>
    </w:rPr>
  </w:style>
  <w:style w:type="paragraph" w:styleId="CommentSubject">
    <w:name w:val="annotation subject"/>
    <w:basedOn w:val="CommentText"/>
    <w:next w:val="CommentText"/>
    <w:link w:val="CommentSubjectChar"/>
    <w:uiPriority w:val="99"/>
    <w:semiHidden/>
    <w:unhideWhenUsed/>
    <w:rsid w:val="00DB0AAF"/>
    <w:rPr>
      <w:b/>
      <w:bCs/>
    </w:rPr>
  </w:style>
  <w:style w:type="character" w:customStyle="1" w:styleId="CommentSubjectChar">
    <w:name w:val="Comment Subject Char"/>
    <w:basedOn w:val="CommentTextChar"/>
    <w:link w:val="CommentSubject"/>
    <w:uiPriority w:val="99"/>
    <w:semiHidden/>
    <w:rsid w:val="00DB0AAF"/>
    <w:rPr>
      <w:rFonts w:ascii="Arial Narrow" w:hAnsi="Arial Narrow"/>
      <w:b/>
      <w:bCs/>
    </w:rPr>
  </w:style>
  <w:style w:type="character" w:styleId="Hyperlink">
    <w:name w:val="Hyperlink"/>
    <w:basedOn w:val="DefaultParagraphFont"/>
    <w:uiPriority w:val="99"/>
    <w:unhideWhenUsed/>
    <w:rsid w:val="008F46A1"/>
    <w:rPr>
      <w:color w:val="0000FF" w:themeColor="hyperlink"/>
      <w:u w:val="single"/>
    </w:rPr>
  </w:style>
  <w:style w:type="paragraph" w:styleId="FootnoteText">
    <w:name w:val="footnote text"/>
    <w:basedOn w:val="Normal"/>
    <w:link w:val="FootnoteTextChar"/>
    <w:uiPriority w:val="99"/>
    <w:semiHidden/>
    <w:unhideWhenUsed/>
    <w:rsid w:val="00371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8D9"/>
    <w:rPr>
      <w:rFonts w:ascii="Arial Narrow" w:hAnsi="Arial Narrow"/>
    </w:rPr>
  </w:style>
  <w:style w:type="character" w:styleId="FootnoteReference">
    <w:name w:val="footnote reference"/>
    <w:basedOn w:val="DefaultParagraphFont"/>
    <w:uiPriority w:val="99"/>
    <w:semiHidden/>
    <w:unhideWhenUsed/>
    <w:rsid w:val="003718D9"/>
    <w:rPr>
      <w:vertAlign w:val="superscript"/>
    </w:rPr>
  </w:style>
  <w:style w:type="table" w:styleId="GridTable5Dark-Accent1">
    <w:name w:val="Grid Table 5 Dark Accent 1"/>
    <w:basedOn w:val="TableNormal"/>
    <w:uiPriority w:val="50"/>
    <w:rsid w:val="000F70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6944">
      <w:bodyDiv w:val="1"/>
      <w:marLeft w:val="0"/>
      <w:marRight w:val="0"/>
      <w:marTop w:val="0"/>
      <w:marBottom w:val="0"/>
      <w:divBdr>
        <w:top w:val="none" w:sz="0" w:space="0" w:color="auto"/>
        <w:left w:val="none" w:sz="0" w:space="0" w:color="auto"/>
        <w:bottom w:val="none" w:sz="0" w:space="0" w:color="auto"/>
        <w:right w:val="none" w:sz="0" w:space="0" w:color="auto"/>
      </w:divBdr>
    </w:div>
    <w:div w:id="987976904">
      <w:bodyDiv w:val="1"/>
      <w:marLeft w:val="0"/>
      <w:marRight w:val="0"/>
      <w:marTop w:val="0"/>
      <w:marBottom w:val="0"/>
      <w:divBdr>
        <w:top w:val="none" w:sz="0" w:space="0" w:color="auto"/>
        <w:left w:val="none" w:sz="0" w:space="0" w:color="auto"/>
        <w:bottom w:val="none" w:sz="0" w:space="0" w:color="auto"/>
        <w:right w:val="none" w:sz="0" w:space="0" w:color="auto"/>
      </w:divBdr>
    </w:div>
    <w:div w:id="1145270565">
      <w:bodyDiv w:val="1"/>
      <w:marLeft w:val="0"/>
      <w:marRight w:val="0"/>
      <w:marTop w:val="0"/>
      <w:marBottom w:val="0"/>
      <w:divBdr>
        <w:top w:val="none" w:sz="0" w:space="0" w:color="auto"/>
        <w:left w:val="none" w:sz="0" w:space="0" w:color="auto"/>
        <w:bottom w:val="none" w:sz="0" w:space="0" w:color="auto"/>
        <w:right w:val="none" w:sz="0" w:space="0" w:color="auto"/>
      </w:divBdr>
    </w:div>
    <w:div w:id="1546912641">
      <w:bodyDiv w:val="1"/>
      <w:marLeft w:val="0"/>
      <w:marRight w:val="0"/>
      <w:marTop w:val="0"/>
      <w:marBottom w:val="0"/>
      <w:divBdr>
        <w:top w:val="none" w:sz="0" w:space="0" w:color="auto"/>
        <w:left w:val="none" w:sz="0" w:space="0" w:color="auto"/>
        <w:bottom w:val="none" w:sz="0" w:space="0" w:color="auto"/>
        <w:right w:val="none" w:sz="0" w:space="0" w:color="auto"/>
      </w:divBdr>
    </w:div>
    <w:div w:id="1562598069">
      <w:bodyDiv w:val="1"/>
      <w:marLeft w:val="0"/>
      <w:marRight w:val="0"/>
      <w:marTop w:val="0"/>
      <w:marBottom w:val="0"/>
      <w:divBdr>
        <w:top w:val="none" w:sz="0" w:space="0" w:color="auto"/>
        <w:left w:val="none" w:sz="0" w:space="0" w:color="auto"/>
        <w:bottom w:val="none" w:sz="0" w:space="0" w:color="auto"/>
        <w:right w:val="none" w:sz="0" w:space="0" w:color="auto"/>
      </w:divBdr>
    </w:div>
    <w:div w:id="16541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jm.com/-/media/about-pjm/who-we-are/public-disclosures/20210406-board-letter-regarding-capacity-market-minimum-offer-price-rule-and-initiation-of-the-critical-issue-fast-path-process.ash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pjm.com/-/media/committees-groups/committees/mc/2020/20200917/20200917-item-01-alternate-motion-amendment-to-joint-stakeholder-package.ashx" TargetMode="External"/><Relationship Id="rId1" Type="http://schemas.openxmlformats.org/officeDocument/2006/relationships/hyperlink" Target="https://www.pjm.com/-/media/committees-groups/task-forces/ccstf/2021/20210922/20210922-item-02a-issue-charge.ash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AEAE1FD0-7C0F-4FDC-BF0F-F3BF467A8FD3}"/>
      </w:docPartPr>
      <w:docPartBody>
        <w:p w:rsidR="00BC29CF" w:rsidRDefault="00680070">
          <w:r w:rsidRPr="002568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70"/>
    <w:rsid w:val="001B328E"/>
    <w:rsid w:val="001E19F8"/>
    <w:rsid w:val="00336264"/>
    <w:rsid w:val="00381566"/>
    <w:rsid w:val="004C79D8"/>
    <w:rsid w:val="00680070"/>
    <w:rsid w:val="00706171"/>
    <w:rsid w:val="0077670E"/>
    <w:rsid w:val="00B434D0"/>
    <w:rsid w:val="00BC29CF"/>
    <w:rsid w:val="00BC4FE8"/>
    <w:rsid w:val="00C66F63"/>
    <w:rsid w:val="00CD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800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925E-46E4-40C6-AF7B-6F5C52B2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PJM</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 Fabiano</dc:creator>
  <cp:lastModifiedBy>Scheirer, Alexandra E.</cp:lastModifiedBy>
  <cp:revision>3</cp:revision>
  <dcterms:created xsi:type="dcterms:W3CDTF">2021-10-22T20:59:00Z</dcterms:created>
  <dcterms:modified xsi:type="dcterms:W3CDTF">2021-10-22T20:59:00Z</dcterms:modified>
</cp:coreProperties>
</file>