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32B2A534">
      <w:pPr>
        <w:pStyle w:val="MeetingDetails"/>
      </w:pPr>
      <w:r>
        <w:t>In-Person/</w:t>
      </w:r>
      <w:r w:rsidR="008062B0">
        <w:t>Teleconference/</w:t>
      </w:r>
      <w:r w:rsidR="00014669">
        <w:t>Webex</w:t>
      </w:r>
    </w:p>
    <w:p w:rsidR="00B62597" w:rsidRPr="00B62597" w:rsidP="00755096" w14:paraId="2E088EB4" w14:textId="6A286F68">
      <w:pPr>
        <w:pStyle w:val="MeetingDetails"/>
      </w:pPr>
      <w:r>
        <w:t>October 15</w:t>
      </w:r>
      <w:r w:rsidR="00737EF1">
        <w:t>,</w:t>
      </w:r>
      <w:r w:rsidR="00565BF6">
        <w:t xml:space="preserve"> 2025</w:t>
      </w:r>
    </w:p>
    <w:p w:rsidR="00B62597" w:rsidRPr="00B62597" w:rsidP="00755096" w14:paraId="195748F0" w14:textId="461ECF4E">
      <w:pPr>
        <w:pStyle w:val="MeetingDetails"/>
        <w:rPr>
          <w:sz w:val="28"/>
          <w:u w:val="single"/>
        </w:rPr>
      </w:pPr>
      <w:r>
        <w:t>9</w:t>
      </w:r>
      <w:r w:rsidR="0005654C">
        <w:t>:0</w:t>
      </w:r>
      <w:r w:rsidR="008062B0">
        <w:t>0</w:t>
      </w:r>
      <w:r w:rsidR="002B2F98">
        <w:t xml:space="preserve"> </w:t>
      </w:r>
      <w:r>
        <w:t>a</w:t>
      </w:r>
      <w:r w:rsidR="00D02194">
        <w:t xml:space="preserve">.m. – </w:t>
      </w:r>
      <w:r w:rsidR="00BA094C">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34B5D7EA">
      <w:pPr>
        <w:pStyle w:val="PrimaryHeading"/>
        <w:rPr>
          <w:caps/>
        </w:rPr>
      </w:pPr>
      <w:bookmarkStart w:id="0" w:name="OLE_LINK5"/>
      <w:bookmarkStart w:id="1" w:name="OLE_LINK3"/>
      <w:r w:rsidRPr="00527104">
        <w:t>Adm</w:t>
      </w:r>
      <w:r w:rsidRPr="007C2954">
        <w:t>inistrati</w:t>
      </w:r>
      <w:r w:rsidR="0005654C">
        <w:t>on (</w:t>
      </w:r>
      <w:r w:rsidR="00586612">
        <w:t>9</w:t>
      </w:r>
      <w:r w:rsidR="0005654C">
        <w:t>:0</w:t>
      </w:r>
      <w:r w:rsidR="008062B0">
        <w:t>0-</w:t>
      </w:r>
      <w:r w:rsidR="00586612">
        <w:t>9</w:t>
      </w:r>
      <w:r w:rsidRPr="00527104">
        <w:t>:</w:t>
      </w:r>
      <w:r w:rsidR="0005654C">
        <w:t>1</w:t>
      </w:r>
      <w:r w:rsidR="00936448">
        <w:t>0</w:t>
      </w:r>
      <w:r w:rsidRPr="00527104">
        <w:t>)</w:t>
      </w:r>
    </w:p>
    <w:bookmarkEnd w:id="0"/>
    <w:bookmarkEnd w:id="1"/>
    <w:p w:rsidR="001177A0" w:rsidRPr="006610CF" w:rsidP="006610CF" w14:paraId="113E5A5D" w14:textId="77777777">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7F4900" w:rsidRPr="00737EF1" w:rsidP="00737EF1" w14:paraId="1B5C0A18" w14:textId="1920399A">
      <w:pPr>
        <w:pStyle w:val="PrimaryHeading"/>
      </w:pPr>
      <w:r>
        <w:t>Education</w:t>
      </w:r>
      <w:r w:rsidR="00FB4C5B">
        <w:t xml:space="preserve"> </w:t>
      </w:r>
      <w:r w:rsidR="009C1AB0">
        <w:t>(</w:t>
      </w:r>
      <w:r w:rsidR="00586612">
        <w:t>9</w:t>
      </w:r>
      <w:r w:rsidR="009C1AB0">
        <w:t>:10-</w:t>
      </w:r>
      <w:r w:rsidR="00586612">
        <w:t>1</w:t>
      </w:r>
      <w:r w:rsidR="00737EF1">
        <w:t>2</w:t>
      </w:r>
      <w:r w:rsidR="00C90A95">
        <w:t>:</w:t>
      </w:r>
      <w:r w:rsidR="00586612">
        <w:t>0</w:t>
      </w:r>
      <w:r w:rsidR="00A74301">
        <w:t>0</w:t>
      </w:r>
      <w:r w:rsidR="000532D9">
        <w:t>)</w:t>
      </w:r>
    </w:p>
    <w:p w:rsidR="00F355D9" w:rsidP="00586612" w14:paraId="1378F335" w14:textId="5DD3AB3F">
      <w:pPr>
        <w:pStyle w:val="ListSubhead1"/>
        <w:rPr>
          <w:b w:val="0"/>
          <w:bCs/>
        </w:rPr>
      </w:pPr>
      <w:r>
        <w:rPr>
          <w:b w:val="0"/>
          <w:bCs/>
        </w:rPr>
        <w:t>Emily Barrett, PJM, will provide a brief overview of the reserve products PJM is proposing and the relationship between those products and their reserve quantities in the day-ahead and real-time markets.</w:t>
      </w:r>
    </w:p>
    <w:p w:rsidR="00586612" w:rsidRPr="00586612" w:rsidP="00586612" w14:paraId="3977200F" w14:textId="22E1F075">
      <w:pPr>
        <w:pStyle w:val="ListSubhead1"/>
        <w:rPr>
          <w:b w:val="0"/>
          <w:bCs/>
        </w:rPr>
      </w:pPr>
      <w:r w:rsidRPr="00586612">
        <w:rPr>
          <w:b w:val="0"/>
          <w:bCs/>
        </w:rPr>
        <w:t>Ian O’Neill</w:t>
      </w:r>
      <w:r>
        <w:rPr>
          <w:b w:val="0"/>
          <w:bCs/>
        </w:rPr>
        <w:t>, PJM,</w:t>
      </w:r>
      <w:r w:rsidRPr="00586612">
        <w:rPr>
          <w:b w:val="0"/>
          <w:bCs/>
        </w:rPr>
        <w:t xml:space="preserve"> will provide an update on how PJM is quantifying uncertainty in </w:t>
      </w:r>
      <w:r w:rsidR="00F355D9">
        <w:rPr>
          <w:b w:val="0"/>
          <w:bCs/>
        </w:rPr>
        <w:t xml:space="preserve">setting </w:t>
      </w:r>
      <w:r w:rsidRPr="00586612">
        <w:rPr>
          <w:b w:val="0"/>
          <w:bCs/>
        </w:rPr>
        <w:t xml:space="preserve">the “DASR 2.0” </w:t>
      </w:r>
      <w:r w:rsidR="00F355D9">
        <w:rPr>
          <w:b w:val="0"/>
          <w:bCs/>
        </w:rPr>
        <w:t xml:space="preserve">requirement </w:t>
      </w:r>
      <w:r w:rsidRPr="00586612">
        <w:rPr>
          <w:b w:val="0"/>
          <w:bCs/>
        </w:rPr>
        <w:t>specifically for medium and high-risk days</w:t>
      </w:r>
      <w:r>
        <w:rPr>
          <w:b w:val="0"/>
          <w:bCs/>
        </w:rPr>
        <w:t>.</w:t>
      </w:r>
      <w:r w:rsidRPr="00586612">
        <w:rPr>
          <w:b w:val="0"/>
          <w:bCs/>
        </w:rPr>
        <w:t xml:space="preserve"> </w:t>
      </w:r>
    </w:p>
    <w:p w:rsidR="00B043A5" w:rsidRPr="00586612" w:rsidP="00586612" w14:paraId="1AA6B366" w14:textId="17828187">
      <w:pPr>
        <w:pStyle w:val="ListSubhead1"/>
      </w:pPr>
      <w:r w:rsidRPr="00586612">
        <w:rPr>
          <w:b w:val="0"/>
          <w:bCs/>
        </w:rPr>
        <w:t>Kevin Hatch and Emily Barrett</w:t>
      </w:r>
      <w:r>
        <w:rPr>
          <w:b w:val="0"/>
          <w:bCs/>
        </w:rPr>
        <w:t>, PJM,</w:t>
      </w:r>
      <w:r w:rsidRPr="00586612">
        <w:rPr>
          <w:b w:val="0"/>
          <w:bCs/>
        </w:rPr>
        <w:t xml:space="preserve"> will provide a review of PJM’s reserve needs under higher risk operations and perspectives on addressing the energy gap in </w:t>
      </w:r>
      <w:r w:rsidR="00F355D9">
        <w:rPr>
          <w:b w:val="0"/>
          <w:bCs/>
        </w:rPr>
        <w:t>the d</w:t>
      </w:r>
      <w:r w:rsidRPr="00586612">
        <w:rPr>
          <w:b w:val="0"/>
          <w:bCs/>
        </w:rPr>
        <w:t>ay-</w:t>
      </w:r>
      <w:r w:rsidR="00F355D9">
        <w:rPr>
          <w:b w:val="0"/>
          <w:bCs/>
        </w:rPr>
        <w:t>a</w:t>
      </w:r>
      <w:r w:rsidRPr="00586612">
        <w:rPr>
          <w:b w:val="0"/>
          <w:bCs/>
        </w:rPr>
        <w:t>head</w:t>
      </w:r>
      <w:r w:rsidR="00F355D9">
        <w:rPr>
          <w:b w:val="0"/>
          <w:bCs/>
        </w:rPr>
        <w:t xml:space="preserve"> market</w:t>
      </w:r>
      <w:r>
        <w:rPr>
          <w:b w:val="0"/>
          <w:bCs/>
        </w:rPr>
        <w:t>.</w:t>
      </w:r>
    </w:p>
    <w:p w:rsidR="00586612" w:rsidRPr="00DB29E9" w:rsidP="00586612" w14:paraId="2FDF70E3" w14:textId="77777777">
      <w:pPr>
        <w:pStyle w:val="PrimaryHeading"/>
      </w:pPr>
      <w:r>
        <w:t>Lunch (12:00 to 1:00)</w:t>
      </w:r>
    </w:p>
    <w:p w:rsidR="00586612" w:rsidP="00586612" w14:paraId="41944096" w14:textId="77777777">
      <w:pPr>
        <w:pStyle w:val="ListSubhead1"/>
        <w:numPr>
          <w:ilvl w:val="0"/>
          <w:numId w:val="0"/>
        </w:numPr>
        <w:ind w:left="360" w:hanging="360"/>
        <w:rPr>
          <w:b w:val="0"/>
          <w:bCs/>
        </w:rPr>
      </w:pPr>
    </w:p>
    <w:p w:rsidR="00586612" w:rsidRPr="00586612" w:rsidP="00586612" w14:paraId="784755BB" w14:textId="4023C68F">
      <w:pPr>
        <w:pStyle w:val="PrimaryHeading"/>
      </w:pPr>
      <w:r>
        <w:t>CBIR (1:00-3:50)</w:t>
      </w:r>
    </w:p>
    <w:p w:rsidR="00586612" w:rsidP="00586612" w14:paraId="6643F017" w14:textId="16C044C9">
      <w:pPr>
        <w:pStyle w:val="ListSubhead1"/>
        <w:rPr>
          <w:b w:val="0"/>
          <w:bCs/>
        </w:rPr>
      </w:pPr>
      <w:r w:rsidRPr="00586612">
        <w:rPr>
          <w:b w:val="0"/>
          <w:bCs/>
        </w:rPr>
        <w:t>Emily Barrett and Joel Mathais</w:t>
      </w:r>
      <w:r>
        <w:rPr>
          <w:b w:val="0"/>
          <w:bCs/>
        </w:rPr>
        <w:t>, PJM,</w:t>
      </w:r>
      <w:r w:rsidRPr="00586612">
        <w:rPr>
          <w:b w:val="0"/>
          <w:bCs/>
        </w:rPr>
        <w:t xml:space="preserve"> will review the development of operating reserve demand curves (ORDC) for the proposed 10-minute ramping and uncertainty reserve product</w:t>
      </w:r>
      <w:r>
        <w:rPr>
          <w:b w:val="0"/>
          <w:bCs/>
        </w:rPr>
        <w:t>.</w:t>
      </w:r>
    </w:p>
    <w:p w:rsidR="00F355D9" w:rsidRPr="00586612" w:rsidP="00F355D9" w14:paraId="5244993C" w14:textId="313E4D31">
      <w:pPr>
        <w:pStyle w:val="ListSubhead1"/>
        <w:rPr>
          <w:b w:val="0"/>
          <w:bCs/>
        </w:rPr>
      </w:pPr>
      <w:r w:rsidRPr="00586612">
        <w:rPr>
          <w:b w:val="0"/>
          <w:bCs/>
        </w:rPr>
        <w:t>Emily Barrett</w:t>
      </w:r>
      <w:r>
        <w:rPr>
          <w:b w:val="0"/>
          <w:bCs/>
        </w:rPr>
        <w:t>, PJM,</w:t>
      </w:r>
      <w:r w:rsidRPr="00586612">
        <w:rPr>
          <w:b w:val="0"/>
          <w:bCs/>
        </w:rPr>
        <w:t xml:space="preserve"> will review </w:t>
      </w:r>
      <w:r>
        <w:rPr>
          <w:b w:val="0"/>
          <w:bCs/>
        </w:rPr>
        <w:t>PJM’s current thinking on costs to be include</w:t>
      </w:r>
      <w:r w:rsidR="0072130C">
        <w:rPr>
          <w:b w:val="0"/>
          <w:bCs/>
        </w:rPr>
        <w:t>d</w:t>
      </w:r>
      <w:r>
        <w:rPr>
          <w:b w:val="0"/>
          <w:bCs/>
        </w:rPr>
        <w:t xml:space="preserve"> in</w:t>
      </w:r>
      <w:r w:rsidRPr="00586612">
        <w:rPr>
          <w:b w:val="0"/>
          <w:bCs/>
        </w:rPr>
        <w:t xml:space="preserve"> Reserve Offers</w:t>
      </w:r>
      <w:r>
        <w:rPr>
          <w:b w:val="0"/>
          <w:bCs/>
        </w:rPr>
        <w:t xml:space="preserve"> as part of the PJM proposal.</w:t>
      </w:r>
    </w:p>
    <w:p w:rsidR="00737EF1" w:rsidRPr="00737EF1" w:rsidP="00737EF1" w14:paraId="37F79F1E" w14:textId="2C226398">
      <w:pPr>
        <w:pStyle w:val="ListSubhead1"/>
        <w:rPr>
          <w:b w:val="0"/>
          <w:bCs/>
        </w:rPr>
      </w:pPr>
      <w:r w:rsidRPr="00737EF1">
        <w:rPr>
          <w:b w:val="0"/>
          <w:bCs/>
        </w:rPr>
        <w:t>Lisa Morelli will lead a discussion of the CBIR matrix and solicit additions from stakeholders.</w:t>
      </w:r>
    </w:p>
    <w:p w:rsidR="00A74301" w:rsidRPr="00DB29E9" w:rsidP="00A74301" w14:paraId="12A25C57" w14:textId="38918FEA">
      <w:pPr>
        <w:pStyle w:val="PrimaryHeading"/>
      </w:pPr>
      <w:r>
        <w:t>F</w:t>
      </w:r>
      <w:r w:rsidR="007F4900">
        <w:t>uture Agenda Items (</w:t>
      </w:r>
      <w:r w:rsidR="00BA094C">
        <w:t>3</w:t>
      </w:r>
      <w:r w:rsidR="00047DF4">
        <w:t>:</w:t>
      </w:r>
      <w:r w:rsidR="00C90A95">
        <w:t>5</w:t>
      </w:r>
      <w:r w:rsidR="00565BF6">
        <w:t>0</w:t>
      </w:r>
      <w:r>
        <w:t>-</w:t>
      </w:r>
      <w:r w:rsidR="00BA094C">
        <w:t>4</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53688B39" w14:textId="77777777" w:rsidTr="00DC1A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198CE0"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113E1A8F"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68DA7BC"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6B6B099" w14:textId="77777777" w:rsidTr="00DC1A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6CB1DED3"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EBE2BAD"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609E82C2"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C0B3082"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450B183" w14:textId="77777777">
            <w:pPr>
              <w:pStyle w:val="DisclaimerHeading"/>
              <w:jc w:val="center"/>
              <w:rPr>
                <w:color w:val="FFFFFF" w:themeColor="background1"/>
                <w:sz w:val="19"/>
                <w:szCs w:val="19"/>
              </w:rPr>
            </w:pPr>
          </w:p>
        </w:tc>
      </w:tr>
      <w:tr w14:paraId="1A6E37F7"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5A0930" w:rsidP="005A0930" w14:paraId="39A1F5FB" w14:textId="1BD6DF8A">
            <w:pPr>
              <w:pStyle w:val="DisclaimerHeading"/>
              <w:spacing w:before="40" w:after="40" w:line="220" w:lineRule="exact"/>
              <w:jc w:val="left"/>
              <w:rPr>
                <w:b w:val="0"/>
                <w:i w:val="0"/>
                <w:color w:val="auto"/>
                <w:sz w:val="18"/>
                <w:szCs w:val="18"/>
              </w:rPr>
            </w:pPr>
            <w:r w:rsidRPr="005A0930">
              <w:rPr>
                <w:b w:val="0"/>
                <w:i w:val="0"/>
                <w:color w:val="auto"/>
                <w:sz w:val="18"/>
                <w:szCs w:val="18"/>
              </w:rPr>
              <w:t>October 29,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15667E65" w14:textId="54C86EA6">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180BA4DD" w14:textId="5585F596">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11C0604B" w14:textId="32D904F4">
            <w:pPr>
              <w:pStyle w:val="DisclaimerHeading"/>
              <w:spacing w:before="40" w:after="40" w:line="220" w:lineRule="exact"/>
              <w:jc w:val="center"/>
              <w:rPr>
                <w:b w:val="0"/>
                <w:color w:val="auto"/>
                <w:sz w:val="18"/>
                <w:szCs w:val="18"/>
              </w:rPr>
            </w:pPr>
            <w:r>
              <w:rPr>
                <w:b w:val="0"/>
                <w:color w:val="auto"/>
                <w:sz w:val="18"/>
                <w:szCs w:val="18"/>
              </w:rPr>
              <w:t>October 21,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1C3AE4F4" w14:textId="26295772">
            <w:pPr>
              <w:pStyle w:val="DisclaimerHeading"/>
              <w:spacing w:before="40" w:after="40" w:line="220" w:lineRule="exact"/>
              <w:jc w:val="center"/>
              <w:rPr>
                <w:b w:val="0"/>
                <w:color w:val="auto"/>
                <w:sz w:val="18"/>
                <w:szCs w:val="18"/>
              </w:rPr>
            </w:pPr>
            <w:r>
              <w:rPr>
                <w:b w:val="0"/>
                <w:color w:val="auto"/>
                <w:sz w:val="18"/>
                <w:szCs w:val="18"/>
              </w:rPr>
              <w:t>October 24, 2025</w:t>
            </w:r>
          </w:p>
        </w:tc>
      </w:tr>
      <w:tr w14:paraId="3EB3490B"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5C2E1A31" w14:textId="208E9C09">
            <w:pPr>
              <w:pStyle w:val="DisclaimerHeading"/>
              <w:spacing w:before="40" w:after="40" w:line="220" w:lineRule="exact"/>
              <w:jc w:val="left"/>
              <w:rPr>
                <w:b w:val="0"/>
                <w:i w:val="0"/>
                <w:color w:val="auto"/>
                <w:sz w:val="18"/>
                <w:szCs w:val="18"/>
              </w:rPr>
            </w:pPr>
            <w:r w:rsidRPr="00230AB7">
              <w:rPr>
                <w:b w:val="0"/>
                <w:i w:val="0"/>
                <w:color w:val="auto"/>
                <w:sz w:val="18"/>
                <w:szCs w:val="18"/>
              </w:rPr>
              <w:t>November 18,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6FAFA117" w14:textId="582A7DC6">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FC3E0A6" w14:textId="6F7D5C16">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588E0C5B" w14:textId="3EBCC7A3">
            <w:pPr>
              <w:pStyle w:val="DisclaimerHeading"/>
              <w:spacing w:before="40" w:after="40" w:line="220" w:lineRule="exact"/>
              <w:jc w:val="center"/>
              <w:rPr>
                <w:b w:val="0"/>
                <w:color w:val="auto"/>
                <w:sz w:val="18"/>
                <w:szCs w:val="18"/>
              </w:rPr>
            </w:pPr>
            <w:r>
              <w:rPr>
                <w:b w:val="0"/>
                <w:color w:val="auto"/>
                <w:sz w:val="18"/>
                <w:szCs w:val="18"/>
              </w:rPr>
              <w:t>November 10,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5C7CE6E8" w14:textId="1BDFFB62">
            <w:pPr>
              <w:pStyle w:val="DisclaimerHeading"/>
              <w:spacing w:before="40" w:after="40" w:line="220" w:lineRule="exact"/>
              <w:jc w:val="center"/>
              <w:rPr>
                <w:b w:val="0"/>
                <w:color w:val="auto"/>
                <w:sz w:val="18"/>
                <w:szCs w:val="18"/>
              </w:rPr>
            </w:pPr>
            <w:r>
              <w:rPr>
                <w:b w:val="0"/>
                <w:color w:val="auto"/>
                <w:sz w:val="18"/>
                <w:szCs w:val="18"/>
              </w:rPr>
              <w:t>November 13, 2025</w:t>
            </w:r>
          </w:p>
        </w:tc>
      </w:tr>
      <w:tr w14:paraId="1623D67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25DD92E6" w14:textId="1BE5BCE7">
            <w:pPr>
              <w:pStyle w:val="DisclaimerHeading"/>
              <w:spacing w:before="40" w:after="40" w:line="220" w:lineRule="exact"/>
              <w:jc w:val="left"/>
              <w:rPr>
                <w:b w:val="0"/>
                <w:i w:val="0"/>
                <w:color w:val="auto"/>
                <w:sz w:val="18"/>
                <w:szCs w:val="18"/>
              </w:rPr>
            </w:pPr>
            <w:r w:rsidRPr="00230AB7">
              <w:rPr>
                <w:b w:val="0"/>
                <w:i w:val="0"/>
                <w:color w:val="auto"/>
                <w:sz w:val="18"/>
                <w:szCs w:val="18"/>
              </w:rPr>
              <w:t>December 4,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40593854" w14:textId="6033D235">
            <w:pPr>
              <w:pStyle w:val="DisclaimerHeading"/>
              <w:spacing w:before="40" w:after="40" w:line="220" w:lineRule="exact"/>
              <w:rPr>
                <w:b w:val="0"/>
                <w:color w:val="auto"/>
                <w:sz w:val="18"/>
                <w:szCs w:val="18"/>
              </w:rPr>
            </w:pPr>
            <w:r>
              <w:rPr>
                <w:b w:val="0"/>
                <w:color w:val="auto"/>
                <w:sz w:val="18"/>
                <w:szCs w:val="18"/>
              </w:rPr>
              <w:t>2 pm to 5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39D2BFE3" w14:textId="1FCC31AD">
            <w:pPr>
              <w:pStyle w:val="DisclaimerHeading"/>
              <w:spacing w:before="40" w:after="40" w:line="220" w:lineRule="exact"/>
              <w:rPr>
                <w:b w:val="0"/>
                <w:color w:val="auto"/>
                <w:sz w:val="18"/>
                <w:szCs w:val="18"/>
              </w:rPr>
            </w:pPr>
            <w:r>
              <w:rPr>
                <w:b w:val="0"/>
                <w:color w:val="auto"/>
                <w:sz w:val="18"/>
                <w:szCs w:val="18"/>
              </w:rPr>
              <w:t>In Person/Teleconference/Webex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65184B58" w14:textId="1A080AB0">
            <w:pPr>
              <w:pStyle w:val="DisclaimerHeading"/>
              <w:spacing w:before="40" w:after="40" w:line="220" w:lineRule="exact"/>
              <w:jc w:val="center"/>
              <w:rPr>
                <w:b w:val="0"/>
                <w:color w:val="auto"/>
                <w:sz w:val="18"/>
                <w:szCs w:val="18"/>
              </w:rPr>
            </w:pPr>
            <w:r>
              <w:rPr>
                <w:b w:val="0"/>
                <w:color w:val="auto"/>
                <w:sz w:val="18"/>
                <w:szCs w:val="18"/>
              </w:rPr>
              <w:t>November 26, 2025</w:t>
            </w:r>
          </w:p>
        </w:tc>
        <w:tc>
          <w:tcPr>
            <w:tcW w:w="1815" w:type="dxa"/>
            <w:tcBorders>
              <w:top w:val="single" w:sz="4" w:space="0" w:color="auto"/>
              <w:left w:val="single" w:sz="4" w:space="0" w:color="auto"/>
              <w:bottom w:val="single" w:sz="4" w:space="0" w:color="auto"/>
              <w:right w:val="single" w:sz="4" w:space="0" w:color="auto"/>
            </w:tcBorders>
          </w:tcPr>
          <w:p w:rsidR="005A0930" w:rsidP="00A80C4A" w14:paraId="700F4DAD" w14:textId="19570B70">
            <w:pPr>
              <w:pStyle w:val="DisclaimerHeading"/>
              <w:spacing w:before="40" w:after="40" w:line="220" w:lineRule="exact"/>
              <w:jc w:val="center"/>
              <w:rPr>
                <w:b w:val="0"/>
                <w:color w:val="auto"/>
                <w:sz w:val="18"/>
                <w:szCs w:val="18"/>
              </w:rPr>
            </w:pPr>
            <w:r>
              <w:rPr>
                <w:b w:val="0"/>
                <w:color w:val="auto"/>
                <w:sz w:val="18"/>
                <w:szCs w:val="18"/>
              </w:rPr>
              <w:t>December 01, 2025</w:t>
            </w:r>
          </w:p>
        </w:tc>
      </w:tr>
      <w:tr w14:paraId="3BF355C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A0930" w:rsidRPr="00230AB7" w:rsidP="00230AB7" w14:paraId="1F607FBC" w14:textId="095C2E93">
            <w:pPr>
              <w:pStyle w:val="DisclaimerHeading"/>
              <w:spacing w:before="40" w:after="40" w:line="220" w:lineRule="exact"/>
              <w:jc w:val="left"/>
              <w:rPr>
                <w:b w:val="0"/>
                <w:i w:val="0"/>
                <w:color w:val="auto"/>
                <w:sz w:val="18"/>
                <w:szCs w:val="18"/>
              </w:rPr>
            </w:pPr>
            <w:r w:rsidRPr="00230AB7">
              <w:rPr>
                <w:b w:val="0"/>
                <w:i w:val="0"/>
                <w:color w:val="auto"/>
                <w:sz w:val="18"/>
                <w:szCs w:val="18"/>
              </w:rPr>
              <w:t>December 10, 2025</w:t>
            </w:r>
          </w:p>
        </w:tc>
        <w:tc>
          <w:tcPr>
            <w:tcW w:w="1260" w:type="dxa"/>
            <w:tcBorders>
              <w:top w:val="single" w:sz="4" w:space="0" w:color="auto"/>
              <w:left w:val="single" w:sz="4" w:space="0" w:color="auto"/>
              <w:bottom w:val="single" w:sz="4" w:space="0" w:color="auto"/>
              <w:right w:val="single" w:sz="8" w:space="0" w:color="auto"/>
            </w:tcBorders>
          </w:tcPr>
          <w:p w:rsidR="005A0930" w:rsidP="00A80C4A" w14:paraId="5411168E" w14:textId="24A50AE6">
            <w:pPr>
              <w:pStyle w:val="DisclaimerHeading"/>
              <w:spacing w:before="40" w:after="40" w:line="220" w:lineRule="exact"/>
              <w:rPr>
                <w:b w:val="0"/>
                <w:color w:val="auto"/>
                <w:sz w:val="18"/>
                <w:szCs w:val="18"/>
              </w:rPr>
            </w:pPr>
            <w:r>
              <w:rPr>
                <w:b w:val="0"/>
                <w:color w:val="auto"/>
                <w:sz w:val="18"/>
                <w:szCs w:val="18"/>
              </w:rPr>
              <w:t>9 am to 3 pm</w:t>
            </w:r>
          </w:p>
        </w:tc>
        <w:tc>
          <w:tcPr>
            <w:tcW w:w="2790" w:type="dxa"/>
            <w:tcBorders>
              <w:top w:val="single" w:sz="4" w:space="0" w:color="auto"/>
              <w:left w:val="single" w:sz="8" w:space="0" w:color="auto"/>
              <w:bottom w:val="single" w:sz="4" w:space="0" w:color="auto"/>
              <w:right w:val="single" w:sz="8" w:space="0" w:color="auto"/>
            </w:tcBorders>
          </w:tcPr>
          <w:p w:rsidR="005A0930" w:rsidP="00A80C4A" w14:paraId="2E9B1576" w14:textId="72E66708">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5A0930" w:rsidP="00A80C4A" w14:paraId="0E931B79" w14:textId="576CEF73">
            <w:pPr>
              <w:pStyle w:val="DisclaimerHeading"/>
              <w:spacing w:before="40" w:after="40" w:line="220" w:lineRule="exact"/>
              <w:jc w:val="center"/>
              <w:rPr>
                <w:b w:val="0"/>
                <w:color w:val="auto"/>
                <w:sz w:val="18"/>
                <w:szCs w:val="18"/>
              </w:rPr>
            </w:pPr>
            <w:r>
              <w:rPr>
                <w:b w:val="0"/>
                <w:color w:val="auto"/>
                <w:sz w:val="18"/>
                <w:szCs w:val="18"/>
              </w:rPr>
              <w:t>December 02, 2025</w:t>
            </w:r>
          </w:p>
        </w:tc>
        <w:tc>
          <w:tcPr>
            <w:tcW w:w="1815" w:type="dxa"/>
            <w:tcBorders>
              <w:top w:val="single" w:sz="4" w:space="0" w:color="auto"/>
              <w:left w:val="single" w:sz="4" w:space="0" w:color="auto"/>
              <w:bottom w:val="single" w:sz="4" w:space="0" w:color="auto"/>
              <w:right w:val="single" w:sz="4" w:space="0" w:color="auto"/>
            </w:tcBorders>
          </w:tcPr>
          <w:p w:rsidR="005A0930" w:rsidP="00230AB7" w14:paraId="3C91AF00" w14:textId="7D69E581">
            <w:pPr>
              <w:pStyle w:val="DisclaimerHeading"/>
              <w:spacing w:before="40" w:after="40" w:line="220" w:lineRule="exact"/>
              <w:jc w:val="center"/>
              <w:rPr>
                <w:b w:val="0"/>
                <w:color w:val="auto"/>
                <w:sz w:val="18"/>
                <w:szCs w:val="18"/>
              </w:rPr>
            </w:pPr>
            <w:r>
              <w:rPr>
                <w:b w:val="0"/>
                <w:color w:val="auto"/>
                <w:sz w:val="18"/>
                <w:szCs w:val="18"/>
              </w:rPr>
              <w:t>December 05, 2025</w:t>
            </w:r>
          </w:p>
        </w:tc>
      </w:tr>
    </w:tbl>
    <w:p w:rsidR="00614E17" w:rsidP="009C1AB0" w14:paraId="4C76CEE7" w14:textId="7FFB4874">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A74301" w:rsidP="00491490" w14:paraId="7D84FA62"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3C345C88">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586612">
      <w:t>October 10</w:t>
    </w:r>
    <w:r w:rsidR="00C90A95">
      <w:t>,</w:t>
    </w:r>
    <w:r w:rsidR="007720E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5"/>
  </w:num>
  <w:num w:numId="10">
    <w:abstractNumId w:val="2"/>
  </w:num>
  <w:num w:numId="11">
    <w:abstractNumId w:val="6"/>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202F2C"/>
    <w:rsid w:val="002104DA"/>
    <w:rsid w:val="002113BD"/>
    <w:rsid w:val="00214CEE"/>
    <w:rsid w:val="002305D9"/>
    <w:rsid w:val="00230AB7"/>
    <w:rsid w:val="0025139E"/>
    <w:rsid w:val="00256630"/>
    <w:rsid w:val="00264BDD"/>
    <w:rsid w:val="00286741"/>
    <w:rsid w:val="00286BDF"/>
    <w:rsid w:val="002B2F98"/>
    <w:rsid w:val="002C6057"/>
    <w:rsid w:val="002D2017"/>
    <w:rsid w:val="002D5E5F"/>
    <w:rsid w:val="002D64BA"/>
    <w:rsid w:val="002E54A3"/>
    <w:rsid w:val="002F6C95"/>
    <w:rsid w:val="00305238"/>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738F"/>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B2132"/>
    <w:rsid w:val="007B3C67"/>
    <w:rsid w:val="007C25A7"/>
    <w:rsid w:val="007C2954"/>
    <w:rsid w:val="007C5715"/>
    <w:rsid w:val="007D4F70"/>
    <w:rsid w:val="007D5C34"/>
    <w:rsid w:val="007E4961"/>
    <w:rsid w:val="007E7CAB"/>
    <w:rsid w:val="007F4900"/>
    <w:rsid w:val="00805544"/>
    <w:rsid w:val="008062B0"/>
    <w:rsid w:val="00811DCB"/>
    <w:rsid w:val="00837B12"/>
    <w:rsid w:val="00840381"/>
    <w:rsid w:val="00841282"/>
    <w:rsid w:val="0084197F"/>
    <w:rsid w:val="008552A3"/>
    <w:rsid w:val="00860AEE"/>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F53F9"/>
    <w:rsid w:val="00A05391"/>
    <w:rsid w:val="00A07FCA"/>
    <w:rsid w:val="00A1464B"/>
    <w:rsid w:val="00A317A9"/>
    <w:rsid w:val="00A330BF"/>
    <w:rsid w:val="00A41149"/>
    <w:rsid w:val="00A43D1B"/>
    <w:rsid w:val="00A56D57"/>
    <w:rsid w:val="00A62715"/>
    <w:rsid w:val="00A63463"/>
    <w:rsid w:val="00A74301"/>
    <w:rsid w:val="00A777B7"/>
    <w:rsid w:val="00A80C4A"/>
    <w:rsid w:val="00A8191F"/>
    <w:rsid w:val="00A931C3"/>
    <w:rsid w:val="00AA15FC"/>
    <w:rsid w:val="00AA27A2"/>
    <w:rsid w:val="00AA6C34"/>
    <w:rsid w:val="00AB14F1"/>
    <w:rsid w:val="00AB2B16"/>
    <w:rsid w:val="00AB73C6"/>
    <w:rsid w:val="00AC2247"/>
    <w:rsid w:val="00AD2A4C"/>
    <w:rsid w:val="00AD4221"/>
    <w:rsid w:val="00AE0BC3"/>
    <w:rsid w:val="00AE3564"/>
    <w:rsid w:val="00B0215A"/>
    <w:rsid w:val="00B021B9"/>
    <w:rsid w:val="00B043A5"/>
    <w:rsid w:val="00B16304"/>
    <w:rsid w:val="00B16D95"/>
    <w:rsid w:val="00B1751B"/>
    <w:rsid w:val="00B20316"/>
    <w:rsid w:val="00B33371"/>
    <w:rsid w:val="00B34E3C"/>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3027F"/>
    <w:rsid w:val="00C332F9"/>
    <w:rsid w:val="00C41E45"/>
    <w:rsid w:val="00C42AC8"/>
    <w:rsid w:val="00C439EC"/>
    <w:rsid w:val="00C452FE"/>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4C71"/>
    <w:rsid w:val="00CC59AB"/>
    <w:rsid w:val="00CC7698"/>
    <w:rsid w:val="00CD0B29"/>
    <w:rsid w:val="00D02194"/>
    <w:rsid w:val="00D060CC"/>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1112"/>
    <w:rsid w:val="00DF1D92"/>
    <w:rsid w:val="00E121E6"/>
    <w:rsid w:val="00E14234"/>
    <w:rsid w:val="00E1605D"/>
    <w:rsid w:val="00E32B6B"/>
    <w:rsid w:val="00E34DF2"/>
    <w:rsid w:val="00E46396"/>
    <w:rsid w:val="00E5387A"/>
    <w:rsid w:val="00E554A5"/>
    <w:rsid w:val="00E55E84"/>
    <w:rsid w:val="00E6673B"/>
    <w:rsid w:val="00E76083"/>
    <w:rsid w:val="00E82D87"/>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A18C2"/>
    <w:rsid w:val="00FA5955"/>
    <w:rsid w:val="00FA61ED"/>
    <w:rsid w:val="00FB1739"/>
    <w:rsid w:val="00FB4C5B"/>
    <w:rsid w:val="00FB5600"/>
    <w:rsid w:val="00FC2B9A"/>
    <w:rsid w:val="00FC5F40"/>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