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309C8D6C">
      <w:pPr>
        <w:pStyle w:val="PostingDate"/>
        <w:rPr>
          <w:sz w:val="16"/>
        </w:rPr>
      </w:pPr>
      <w:r>
        <w:t>As of</w:t>
      </w:r>
      <w:r w:rsidR="00435502">
        <w:t xml:space="preserve"> </w:t>
      </w:r>
      <w:r w:rsidR="000D7484">
        <w:t xml:space="preserve">February </w:t>
      </w:r>
      <w:r w:rsidRPr="00C9580C" w:rsidR="00C9580C">
        <w:rPr>
          <w:color w:val="EE0000"/>
        </w:rPr>
        <w:t>24</w:t>
      </w:r>
      <w:r>
        <w:t>, 202</w:t>
      </w:r>
      <w:r w:rsidR="00A0149A">
        <w:t>6</w:t>
      </w:r>
      <w:r>
        <w:t xml:space="preserve">  </w:t>
      </w:r>
    </w:p>
    <w:p w:rsidR="00643705" w:rsidRPr="00643705" w:rsidP="00643705" w14:paraId="5C312BAA" w14:textId="77777777">
      <w:pPr>
        <w:pStyle w:val="MeetingDetails"/>
      </w:pPr>
      <w:r w:rsidRPr="00643705">
        <w:t>Reliability Backstop Procurement Workshop</w:t>
      </w:r>
    </w:p>
    <w:p w:rsidR="00B62597" w:rsidRPr="00B62597" w:rsidP="00755096" w14:paraId="1B7ACC45" w14:textId="75D5AAB8">
      <w:pPr>
        <w:pStyle w:val="MeetingDetails"/>
      </w:pPr>
      <w:r>
        <w:t>Webex</w:t>
      </w:r>
    </w:p>
    <w:p w:rsidR="00B62597" w:rsidRPr="00B62597" w:rsidP="00755096" w14:paraId="50FB3959" w14:textId="14B5C580">
      <w:pPr>
        <w:pStyle w:val="MeetingDetails"/>
      </w:pPr>
      <w:r>
        <w:t>February</w:t>
      </w:r>
      <w:r w:rsidR="00435502">
        <w:t xml:space="preserve"> </w:t>
      </w:r>
      <w:r w:rsidR="00017303">
        <w:t>25</w:t>
      </w:r>
      <w:r w:rsidR="002B2F98">
        <w:t xml:space="preserve">, </w:t>
      </w:r>
      <w:r w:rsidR="009B2B7E">
        <w:t>202</w:t>
      </w:r>
      <w:r w:rsidR="00A0149A">
        <w:t>6</w:t>
      </w:r>
    </w:p>
    <w:p w:rsidR="00B62597" w:rsidRPr="00B62597" w:rsidP="00755096" w14:paraId="50D3F3B5" w14:textId="0141CF2E">
      <w:pPr>
        <w:pStyle w:val="MeetingDetails"/>
        <w:rPr>
          <w:sz w:val="28"/>
          <w:u w:val="single"/>
        </w:rPr>
      </w:pPr>
      <w:r>
        <w:t>9</w:t>
      </w:r>
      <w:r w:rsidR="002B2F98">
        <w:t xml:space="preserve">:00 </w:t>
      </w:r>
      <w:r>
        <w:t>a</w:t>
      </w:r>
      <w:r w:rsidR="002B2F98">
        <w:t xml:space="preserve">.m. – </w:t>
      </w:r>
      <w:r w:rsidR="00FF0AD0">
        <w:t>4:3</w:t>
      </w:r>
      <w:r w:rsidR="00010057">
        <w:t xml:space="preserve">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5497C537">
      <w:pPr>
        <w:pStyle w:val="PrimaryHeading"/>
        <w:rPr>
          <w:caps/>
        </w:rPr>
      </w:pPr>
      <w:bookmarkStart w:id="0" w:name="OLE_LINK5"/>
      <w:bookmarkStart w:id="1" w:name="OLE_LINK3"/>
      <w:r w:rsidRPr="00527104">
        <w:t>Adm</w:t>
      </w:r>
      <w:r w:rsidRPr="007C2954">
        <w:t>inistrati</w:t>
      </w:r>
      <w:r w:rsidRPr="00527104">
        <w:t>on (</w:t>
      </w:r>
      <w:r w:rsidR="00643705">
        <w:t>9</w:t>
      </w:r>
      <w:r w:rsidRPr="00527104">
        <w:t>:00</w:t>
      </w:r>
      <w:r w:rsidR="00C662B2">
        <w:t xml:space="preserve"> </w:t>
      </w:r>
      <w:r w:rsidRPr="00527104">
        <w:t>-</w:t>
      </w:r>
      <w:r w:rsidR="00C662B2">
        <w:t xml:space="preserve"> </w:t>
      </w:r>
      <w:r w:rsidR="00643705">
        <w:t>9</w:t>
      </w:r>
      <w:r w:rsidRPr="00527104">
        <w:t>:</w:t>
      </w:r>
      <w:r w:rsidR="00643705">
        <w:t>1</w:t>
      </w:r>
      <w:r w:rsidRPr="00527104">
        <w:t>0)</w:t>
      </w:r>
    </w:p>
    <w:bookmarkEnd w:id="0"/>
    <w:bookmarkEnd w:id="1"/>
    <w:p w:rsidR="008D0379" w:rsidP="00B2596F" w14:paraId="50EAA1D0" w14:textId="42FF3E9F">
      <w:pPr>
        <w:pStyle w:val="SecondaryHeading-Numbered"/>
        <w:numPr>
          <w:ilvl w:val="0"/>
          <w:numId w:val="0"/>
        </w:numPr>
        <w:ind w:left="360"/>
        <w:rPr>
          <w:b w:val="0"/>
        </w:rPr>
      </w:pPr>
      <w:r>
        <w:rPr>
          <w:b w:val="0"/>
        </w:rPr>
        <w:t>Dave Anders</w:t>
      </w:r>
      <w:r w:rsidR="00965FF9">
        <w:rPr>
          <w:b w:val="0"/>
        </w:rPr>
        <w:t>, facilitator,</w:t>
      </w:r>
      <w:r w:rsidR="00643705">
        <w:rPr>
          <w:b w:val="0"/>
        </w:rPr>
        <w:t xml:space="preserve"> and Matt Connolly</w:t>
      </w:r>
      <w:r w:rsidR="00965FF9">
        <w:rPr>
          <w:b w:val="0"/>
        </w:rPr>
        <w:t>, secretary,</w:t>
      </w:r>
      <w:r w:rsidR="00643705">
        <w:rPr>
          <w:b w:val="0"/>
        </w:rPr>
        <w:t xml:space="preserve"> </w:t>
      </w:r>
      <w:r w:rsidRPr="00435502" w:rsidR="00435502">
        <w:rPr>
          <w:b w:val="0"/>
        </w:rPr>
        <w:t xml:space="preserve">will </w:t>
      </w:r>
      <w:r w:rsidR="00187C12">
        <w:rPr>
          <w:b w:val="0"/>
        </w:rPr>
        <w:t>welcome</w:t>
      </w:r>
      <w:r w:rsidR="00C662B2">
        <w:rPr>
          <w:b w:val="0"/>
        </w:rPr>
        <w:t xml:space="preserve"> participants, make </w:t>
      </w:r>
      <w:r w:rsidRPr="00435502" w:rsidR="00435502">
        <w:rPr>
          <w:b w:val="0"/>
        </w:rPr>
        <w:t>announcements</w:t>
      </w:r>
      <w:r w:rsidR="00C662B2">
        <w:rPr>
          <w:b w:val="0"/>
        </w:rPr>
        <w:t>,</w:t>
      </w:r>
      <w:r w:rsidR="005D230C">
        <w:rPr>
          <w:b w:val="0"/>
        </w:rPr>
        <w:t xml:space="preserve"> and</w:t>
      </w:r>
      <w:r w:rsidRPr="00435502" w:rsidR="00435502">
        <w:rPr>
          <w:b w:val="0"/>
        </w:rPr>
        <w:t xml:space="preserve"> review the Antitrust, Code of Conduct, </w:t>
      </w:r>
      <w:r w:rsidR="008E1111">
        <w:rPr>
          <w:b w:val="0"/>
        </w:rPr>
        <w:t xml:space="preserve">and </w:t>
      </w:r>
      <w:r w:rsidRPr="00435502" w:rsidR="00435502">
        <w:rPr>
          <w:b w:val="0"/>
        </w:rPr>
        <w:t>Public</w:t>
      </w:r>
      <w:r w:rsidR="00435502">
        <w:rPr>
          <w:b w:val="0"/>
        </w:rPr>
        <w:t xml:space="preserve"> </w:t>
      </w:r>
      <w:r w:rsidRPr="00435502" w:rsidR="00435502">
        <w:rPr>
          <w:b w:val="0"/>
        </w:rPr>
        <w:t>Meetings/Media Participation</w:t>
      </w:r>
      <w:r w:rsidR="008E1111">
        <w:rPr>
          <w:b w:val="0"/>
        </w:rPr>
        <w:t xml:space="preserve"> Guidelines</w:t>
      </w:r>
      <w:r w:rsidRPr="00435502" w:rsidR="00435502">
        <w:rPr>
          <w:b w:val="0"/>
        </w:rPr>
        <w:t>.</w:t>
      </w:r>
    </w:p>
    <w:p w:rsidR="00187C12" w:rsidRPr="0063557A" w:rsidP="0063557A" w14:paraId="49034192" w14:textId="08531B74">
      <w:pPr>
        <w:pStyle w:val="PrimaryHeading"/>
      </w:pPr>
      <w:r>
        <w:t>Discussion</w:t>
      </w:r>
      <w:r w:rsidR="001D3B68">
        <w:t xml:space="preserve"> (</w:t>
      </w:r>
      <w:r w:rsidR="00643705">
        <w:t>9</w:t>
      </w:r>
      <w:r w:rsidR="001D3B68">
        <w:t>:</w:t>
      </w:r>
      <w:r w:rsidR="005D230C">
        <w:t>10</w:t>
      </w:r>
      <w:r w:rsidR="008E1111">
        <w:t xml:space="preserve"> </w:t>
      </w:r>
      <w:r w:rsidR="001D3B68">
        <w:t>-</w:t>
      </w:r>
      <w:r w:rsidR="008E1111">
        <w:t xml:space="preserve"> </w:t>
      </w:r>
      <w:r w:rsidR="002A28BA">
        <w:t>4</w:t>
      </w:r>
      <w:r w:rsidR="00850BE5">
        <w:t>:</w:t>
      </w:r>
      <w:r w:rsidR="002A28BA">
        <w:t>3</w:t>
      </w:r>
      <w:r w:rsidR="00850BE5">
        <w:t>0</w:t>
      </w:r>
      <w:r w:rsidR="001D3B68">
        <w:t>)</w:t>
      </w:r>
    </w:p>
    <w:p w:rsidR="005B1CAE" w14:paraId="3C367342" w14:textId="7D033B7A">
      <w:pPr>
        <w:pStyle w:val="SecondaryHeading-Numbered"/>
        <w:numPr>
          <w:ilvl w:val="0"/>
          <w:numId w:val="19"/>
        </w:numPr>
        <w:rPr>
          <w:b w:val="0"/>
          <w:bCs/>
        </w:rPr>
      </w:pPr>
      <w:r w:rsidRPr="002840BD">
        <w:rPr>
          <w:b w:val="0"/>
          <w:bCs/>
        </w:rPr>
        <w:t>Dave Anders will lead a discussion with stakeholders on</w:t>
      </w:r>
      <w:r>
        <w:rPr>
          <w:b w:val="0"/>
          <w:bCs/>
        </w:rPr>
        <w:t xml:space="preserve"> carryover topics </w:t>
      </w:r>
      <w:r w:rsidRPr="002840BD">
        <w:rPr>
          <w:b w:val="0"/>
          <w:bCs/>
        </w:rPr>
        <w:t xml:space="preserve">from the February </w:t>
      </w:r>
      <w:r>
        <w:rPr>
          <w:b w:val="0"/>
          <w:bCs/>
        </w:rPr>
        <w:t>24</w:t>
      </w:r>
      <w:r w:rsidRPr="002840BD">
        <w:rPr>
          <w:b w:val="0"/>
          <w:bCs/>
          <w:vertAlign w:val="superscript"/>
        </w:rPr>
        <w:t>th</w:t>
      </w:r>
      <w:r w:rsidRPr="002840BD">
        <w:rPr>
          <w:b w:val="0"/>
          <w:bCs/>
        </w:rPr>
        <w:t xml:space="preserve"> workshop.</w:t>
      </w:r>
    </w:p>
    <w:p w:rsidR="00525603" w:rsidRPr="005B1CAE" w:rsidP="00525603" w14:paraId="6E00EB35" w14:textId="77777777">
      <w:pPr>
        <w:pStyle w:val="SecondaryHeading-Numbered"/>
        <w:numPr>
          <w:ilvl w:val="0"/>
          <w:numId w:val="19"/>
        </w:numPr>
        <w:rPr>
          <w:b w:val="0"/>
          <w:bCs/>
        </w:rPr>
      </w:pPr>
      <w:r w:rsidRPr="005B1CAE">
        <w:rPr>
          <w:b w:val="0"/>
          <w:bCs/>
        </w:rPr>
        <w:t>AJ Lamber</w:t>
      </w:r>
      <w:r>
        <w:rPr>
          <w:b w:val="0"/>
          <w:bCs/>
        </w:rPr>
        <w:t xml:space="preserve">t, PJM, will provide education on generation interconnection and deliverability. </w:t>
      </w:r>
    </w:p>
    <w:p w:rsidR="000160E4" w:rsidP="000160E4" w14:paraId="4BC05C17" w14:textId="77777777">
      <w:pPr>
        <w:pStyle w:val="SecondaryHeading-Numbered"/>
        <w:numPr>
          <w:ilvl w:val="0"/>
          <w:numId w:val="19"/>
        </w:numPr>
        <w:rPr>
          <w:b w:val="0"/>
          <w:bCs/>
        </w:rPr>
      </w:pPr>
      <w:r>
        <w:rPr>
          <w:b w:val="0"/>
          <w:bCs/>
        </w:rPr>
        <w:t>Molly Mooney, PJM, will provide education on i</w:t>
      </w:r>
      <w:r w:rsidRPr="005B1CAE">
        <w:rPr>
          <w:b w:val="0"/>
          <w:bCs/>
        </w:rPr>
        <w:t xml:space="preserve">ncorporating </w:t>
      </w:r>
      <w:r>
        <w:rPr>
          <w:b w:val="0"/>
          <w:bCs/>
        </w:rPr>
        <w:t>d</w:t>
      </w:r>
      <w:r w:rsidRPr="005B1CAE">
        <w:rPr>
          <w:b w:val="0"/>
          <w:bCs/>
        </w:rPr>
        <w:t xml:space="preserve">ata </w:t>
      </w:r>
      <w:r>
        <w:rPr>
          <w:b w:val="0"/>
          <w:bCs/>
        </w:rPr>
        <w:t>c</w:t>
      </w:r>
      <w:r w:rsidRPr="005B1CAE">
        <w:rPr>
          <w:b w:val="0"/>
          <w:bCs/>
        </w:rPr>
        <w:t xml:space="preserve">enter </w:t>
      </w:r>
      <w:r>
        <w:rPr>
          <w:b w:val="0"/>
          <w:bCs/>
        </w:rPr>
        <w:t>l</w:t>
      </w:r>
      <w:r w:rsidRPr="005B1CAE">
        <w:rPr>
          <w:b w:val="0"/>
          <w:bCs/>
        </w:rPr>
        <w:t>oads in</w:t>
      </w:r>
      <w:r>
        <w:rPr>
          <w:b w:val="0"/>
          <w:bCs/>
        </w:rPr>
        <w:t xml:space="preserve"> </w:t>
      </w:r>
      <w:r w:rsidRPr="005B1CAE">
        <w:rPr>
          <w:b w:val="0"/>
          <w:bCs/>
        </w:rPr>
        <w:t>PJM</w:t>
      </w:r>
      <w:r>
        <w:rPr>
          <w:b w:val="0"/>
          <w:bCs/>
        </w:rPr>
        <w:t>’s l</w:t>
      </w:r>
      <w:r w:rsidRPr="005B1CAE">
        <w:rPr>
          <w:b w:val="0"/>
          <w:bCs/>
        </w:rPr>
        <w:t>ong-</w:t>
      </w:r>
      <w:r>
        <w:rPr>
          <w:b w:val="0"/>
          <w:bCs/>
        </w:rPr>
        <w:t>t</w:t>
      </w:r>
      <w:r w:rsidRPr="005B1CAE">
        <w:rPr>
          <w:b w:val="0"/>
          <w:bCs/>
        </w:rPr>
        <w:t xml:space="preserve">erm </w:t>
      </w:r>
      <w:r>
        <w:rPr>
          <w:b w:val="0"/>
          <w:bCs/>
        </w:rPr>
        <w:t>l</w:t>
      </w:r>
      <w:r w:rsidRPr="005B1CAE">
        <w:rPr>
          <w:b w:val="0"/>
          <w:bCs/>
        </w:rPr>
        <w:t xml:space="preserve">oad </w:t>
      </w:r>
      <w:r>
        <w:rPr>
          <w:b w:val="0"/>
          <w:bCs/>
        </w:rPr>
        <w:t>f</w:t>
      </w:r>
      <w:r w:rsidRPr="005B1CAE">
        <w:rPr>
          <w:b w:val="0"/>
          <w:bCs/>
        </w:rPr>
        <w:t>orecast</w:t>
      </w:r>
      <w:r>
        <w:rPr>
          <w:b w:val="0"/>
          <w:bCs/>
        </w:rPr>
        <w:t>.</w:t>
      </w:r>
    </w:p>
    <w:p w:rsidR="002354AA" w14:paraId="5DDD2A79" w14:textId="66BE29C6">
      <w:pPr>
        <w:pStyle w:val="SecondaryHeading-Numbered"/>
        <w:numPr>
          <w:ilvl w:val="0"/>
          <w:numId w:val="19"/>
        </w:numPr>
        <w:rPr>
          <w:b w:val="0"/>
          <w:bCs/>
        </w:rPr>
      </w:pPr>
      <w:r>
        <w:rPr>
          <w:b w:val="0"/>
          <w:bCs/>
        </w:rPr>
        <w:t>Pat Bruno, PJM, will provide education on RPM</w:t>
      </w:r>
      <w:r w:rsidRPr="005B1CAE">
        <w:rPr>
          <w:b w:val="0"/>
          <w:bCs/>
        </w:rPr>
        <w:t xml:space="preserve"> cost allocation</w:t>
      </w:r>
      <w:r w:rsidR="00DB7071">
        <w:rPr>
          <w:b w:val="0"/>
          <w:bCs/>
        </w:rPr>
        <w:t>.</w:t>
      </w:r>
    </w:p>
    <w:p w:rsidR="00BF312D" w:rsidRPr="00BF312D" w:rsidP="00AC5B86" w14:paraId="58FABB95" w14:textId="6F5EC08D">
      <w:pPr>
        <w:pStyle w:val="SecondaryHeading-Numbered"/>
        <w:numPr>
          <w:ilvl w:val="0"/>
          <w:numId w:val="19"/>
        </w:numPr>
        <w:rPr>
          <w:b w:val="0"/>
          <w:bCs/>
        </w:rPr>
      </w:pPr>
      <w:r w:rsidRPr="00BF312D">
        <w:rPr>
          <w:b w:val="0"/>
          <w:bCs/>
        </w:rPr>
        <w:t xml:space="preserve">Brian George, Google, </w:t>
      </w:r>
      <w:r w:rsidRPr="00BF312D">
        <w:rPr>
          <w:b w:val="0"/>
          <w:bCs/>
        </w:rPr>
        <w:t xml:space="preserve">will share observations on the reliability backstop procurement discussions to date. </w:t>
      </w:r>
    </w:p>
    <w:p w:rsidR="002E54C8" w:rsidRPr="00322C4C" w:rsidP="00AC5B86" w14:paraId="497AD397" w14:textId="7BD43830">
      <w:pPr>
        <w:pStyle w:val="SecondaryHeading-Numbered"/>
        <w:numPr>
          <w:ilvl w:val="0"/>
          <w:numId w:val="19"/>
        </w:numPr>
        <w:rPr>
          <w:b w:val="0"/>
          <w:bCs/>
          <w:strike/>
          <w:color w:val="EE0000"/>
        </w:rPr>
      </w:pPr>
      <w:r w:rsidRPr="00322C4C">
        <w:rPr>
          <w:b w:val="0"/>
          <w:bCs/>
          <w:strike/>
          <w:color w:val="EE0000"/>
        </w:rPr>
        <w:t xml:space="preserve">Kimaya Abreu, </w:t>
      </w:r>
      <w:r w:rsidRPr="00322C4C">
        <w:rPr>
          <w:b w:val="0"/>
          <w:bCs/>
          <w:strike/>
          <w:color w:val="EE0000"/>
        </w:rPr>
        <w:t>Voltus</w:t>
      </w:r>
      <w:r w:rsidRPr="00322C4C">
        <w:rPr>
          <w:b w:val="0"/>
          <w:bCs/>
          <w:strike/>
          <w:color w:val="EE0000"/>
        </w:rPr>
        <w:t xml:space="preserve">, </w:t>
      </w:r>
      <w:r w:rsidRPr="00322C4C" w:rsidR="00EA418F">
        <w:rPr>
          <w:b w:val="0"/>
          <w:bCs/>
          <w:strike/>
          <w:color w:val="EE0000"/>
        </w:rPr>
        <w:t>will</w:t>
      </w:r>
      <w:r w:rsidRPr="00322C4C" w:rsidR="00BF312D">
        <w:rPr>
          <w:b w:val="0"/>
          <w:bCs/>
          <w:strike/>
          <w:color w:val="EE0000"/>
        </w:rPr>
        <w:t xml:space="preserve"> provide a presentation on reliability backstop procurement principles.  </w:t>
      </w:r>
    </w:p>
    <w:p w:rsidR="00B7365B" w:rsidRPr="00B7365B" w14:paraId="7673A541" w14:textId="07912793">
      <w:pPr>
        <w:pStyle w:val="SecondaryHeading-Numbered"/>
        <w:numPr>
          <w:ilvl w:val="0"/>
          <w:numId w:val="19"/>
        </w:numPr>
        <w:rPr>
          <w:b w:val="0"/>
          <w:bCs/>
        </w:rPr>
      </w:pPr>
      <w:r w:rsidRPr="00B7365B">
        <w:rPr>
          <w:b w:val="0"/>
          <w:bCs/>
        </w:rPr>
        <w:t xml:space="preserve">Grant Glazer, MN8 Energy LLC, will provide perspectives and feedback on </w:t>
      </w:r>
      <w:r w:rsidRPr="00B7365B">
        <w:rPr>
          <w:b w:val="0"/>
          <w:bCs/>
        </w:rPr>
        <w:t>the reliability</w:t>
      </w:r>
      <w:r w:rsidRPr="00B7365B">
        <w:rPr>
          <w:b w:val="0"/>
          <w:bCs/>
        </w:rPr>
        <w:t xml:space="preserve"> backstop procurement.  </w:t>
      </w:r>
    </w:p>
    <w:p w:rsidR="001F50E2" w:rsidRPr="001F50E2" w14:paraId="332F3720" w14:textId="22B16871">
      <w:pPr>
        <w:pStyle w:val="SecondaryHeading-Numbered"/>
        <w:numPr>
          <w:ilvl w:val="0"/>
          <w:numId w:val="19"/>
        </w:numPr>
        <w:rPr>
          <w:b w:val="0"/>
          <w:bCs/>
          <w:color w:val="EE0000"/>
        </w:rPr>
      </w:pPr>
      <w:r w:rsidRPr="001F50E2">
        <w:rPr>
          <w:b w:val="0"/>
          <w:bCs/>
          <w:color w:val="EE0000"/>
        </w:rPr>
        <w:t>Joe Bowring, IMM, will present an updated proposal addressing a reliability backstop auction.</w:t>
      </w:r>
    </w:p>
    <w:p w:rsidR="00E92FF6" w:rsidRPr="005B1CAE" w14:paraId="66D1884E" w14:textId="2DA878CE">
      <w:pPr>
        <w:pStyle w:val="SecondaryHeading-Numbered"/>
        <w:numPr>
          <w:ilvl w:val="0"/>
          <w:numId w:val="19"/>
        </w:numPr>
      </w:pPr>
      <w:r w:rsidRPr="00A11A2E">
        <w:rPr>
          <w:b w:val="0"/>
        </w:rPr>
        <w:t xml:space="preserve">PJM </w:t>
      </w:r>
      <w:r w:rsidRPr="00D06296" w:rsidR="00D06296">
        <w:rPr>
          <w:b w:val="0"/>
          <w:bCs/>
        </w:rPr>
        <w:t xml:space="preserve">will </w:t>
      </w:r>
      <w:r w:rsidR="005B1CAE">
        <w:rPr>
          <w:b w:val="0"/>
          <w:bCs/>
        </w:rPr>
        <w:t xml:space="preserve">review insights from stakeholder </w:t>
      </w:r>
      <w:r w:rsidR="00387585">
        <w:rPr>
          <w:b w:val="0"/>
          <w:bCs/>
        </w:rPr>
        <w:t>feedback</w:t>
      </w:r>
      <w:r w:rsidR="005B1CAE">
        <w:rPr>
          <w:b w:val="0"/>
          <w:bCs/>
        </w:rPr>
        <w:t xml:space="preserve"> and survey responses</w:t>
      </w:r>
      <w:r w:rsidR="00DB7071">
        <w:rPr>
          <w:b w:val="0"/>
          <w:bCs/>
        </w:rPr>
        <w:t>.</w:t>
      </w:r>
      <w:r w:rsidR="005B1CAE">
        <w:rPr>
          <w:b w:val="0"/>
          <w:bCs/>
        </w:rPr>
        <w:t xml:space="preserve">  </w:t>
      </w:r>
    </w:p>
    <w:p w:rsidR="00850BE5" w:rsidRPr="00C662B2" w:rsidP="00BA4045" w14:paraId="0332DD3E" w14:textId="3C9CCC15">
      <w:pPr>
        <w:pStyle w:val="SecondaryHeading-Numbered"/>
        <w:numPr>
          <w:ilvl w:val="0"/>
          <w:numId w:val="19"/>
        </w:numPr>
      </w:pPr>
      <w:r>
        <w:rPr>
          <w:b w:val="0"/>
        </w:rPr>
        <w:t xml:space="preserve">Dave Anders </w:t>
      </w:r>
      <w:r w:rsidRPr="00BA4045">
        <w:rPr>
          <w:b w:val="0"/>
          <w:bCs/>
        </w:rPr>
        <w:t>will discuss next steps for additional workshops.</w:t>
      </w:r>
    </w:p>
    <w:p w:rsidR="00C662B2" w:rsidRPr="00C662B2" w:rsidP="00C662B2" w14:paraId="223E04FB" w14:textId="56ED6F6B">
      <w:pPr>
        <w:pStyle w:val="SecondaryHeading-Numbered"/>
        <w:numPr>
          <w:ilvl w:val="0"/>
          <w:numId w:val="0"/>
        </w:numPr>
      </w:pPr>
      <w:r w:rsidRPr="00C662B2">
        <w:t>Lunch 12:00</w:t>
      </w:r>
      <w:r w:rsidR="008E1111">
        <w:t xml:space="preserve"> </w:t>
      </w:r>
      <w:r w:rsidR="00C72D79">
        <w:t>–</w:t>
      </w:r>
      <w:r w:rsidR="008E1111">
        <w:t xml:space="preserve"> </w:t>
      </w:r>
      <w:r w:rsidR="00C72D79">
        <w:t>12:45</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3EB14E38">
            <w:pPr>
              <w:pStyle w:val="PrimaryHeading"/>
              <w:spacing w:after="0"/>
              <w:rPr>
                <w:b/>
              </w:rPr>
            </w:pPr>
            <w:r w:rsidRPr="0095194C">
              <w:rPr>
                <w:b/>
              </w:rPr>
              <w:t xml:space="preserve">Future Agenda Items </w:t>
            </w:r>
          </w:p>
        </w:tc>
      </w:tr>
      <w:tr w14:paraId="172633C2" w14:textId="7777777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14:paraId="07DC2872" w14:textId="77777777">
            <w:pPr>
              <w:pStyle w:val="AttendeesList"/>
            </w:pPr>
          </w:p>
          <w:p w:rsidR="000160E4" w:rsidRPr="00DB7071" w:rsidP="00B73D9D" w14:paraId="2F17BCFD" w14:textId="5F0F7648">
            <w:pPr>
              <w:pStyle w:val="SecondaryHeading-Numbered"/>
              <w:numPr>
                <w:ilvl w:val="0"/>
                <w:numId w:val="0"/>
              </w:numPr>
              <w:ind w:left="360"/>
              <w:rPr>
                <w:bCs w:val="0"/>
              </w:rPr>
            </w:pPr>
            <w:r>
              <w:t>P</w:t>
            </w:r>
            <w:r w:rsidRPr="00C55835">
              <w:t>JM</w:t>
            </w:r>
            <w:r>
              <w:t xml:space="preserve"> will provide education on c</w:t>
            </w:r>
            <w:r w:rsidRPr="00DB7071">
              <w:t>ounterparty and risk/collateral issues</w:t>
            </w:r>
            <w:r>
              <w:t>.</w:t>
            </w:r>
          </w:p>
          <w:p w:rsidR="005D230C" w14:paraId="503EE00D" w14:textId="5D834E75">
            <w:pPr>
              <w:pStyle w:val="AttendeesList"/>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0"/>
        <w:gridCol w:w="1620"/>
        <w:gridCol w:w="3330"/>
        <w:gridCol w:w="1440"/>
        <w:gridCol w:w="1440"/>
      </w:tblGrid>
      <w:tr w14:paraId="54A60D56" w14:textId="77777777" w:rsidTr="00D971AD">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48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44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44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D971AD">
        <w:tblPrEx>
          <w:tblW w:w="9360" w:type="dxa"/>
          <w:tblLook w:val="04A0"/>
        </w:tblPrEx>
        <w:trPr>
          <w:trHeight w:val="296"/>
        </w:trPr>
        <w:tc>
          <w:tcPr>
            <w:tcW w:w="153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162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3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44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44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D971AD">
        <w:tblPrEx>
          <w:tblW w:w="9360" w:type="dxa"/>
          <w:tblLook w:val="04A0"/>
        </w:tblPrEx>
        <w:trPr>
          <w:trHeight w:val="331"/>
        </w:trPr>
        <w:tc>
          <w:tcPr>
            <w:tcW w:w="153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162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33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288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37111DA" w14:textId="77777777" w:rsidTr="00D971AD">
        <w:tblPrEx>
          <w:tblW w:w="9360" w:type="dxa"/>
          <w:tblLook w:val="04A0"/>
        </w:tblPrEx>
        <w:trPr>
          <w:trHeight w:val="331"/>
        </w:trPr>
        <w:tc>
          <w:tcPr>
            <w:tcW w:w="1530" w:type="dxa"/>
            <w:tcBorders>
              <w:top w:val="single" w:sz="4" w:space="0" w:color="auto"/>
              <w:bottom w:val="single" w:sz="4" w:space="0" w:color="auto"/>
              <w:right w:val="single" w:sz="4" w:space="0" w:color="auto"/>
            </w:tcBorders>
            <w:shd w:val="clear" w:color="auto" w:fill="E1F6FF"/>
          </w:tcPr>
          <w:p w:rsidR="00167AA6" w:rsidRPr="0055010D" w:rsidP="00167AA6" w14:paraId="6FA32F22" w14:textId="74620BB7">
            <w:pPr>
              <w:pStyle w:val="DisclaimerHeading"/>
              <w:keepLines/>
              <w:spacing w:before="40" w:after="40" w:line="220" w:lineRule="exact"/>
              <w:jc w:val="left"/>
              <w:rPr>
                <w:color w:val="auto"/>
                <w:sz w:val="18"/>
                <w:szCs w:val="18"/>
              </w:rPr>
            </w:pPr>
            <w:r>
              <w:rPr>
                <w:color w:val="auto"/>
                <w:sz w:val="18"/>
                <w:szCs w:val="18"/>
              </w:rPr>
              <w:t>March 4, 2026</w:t>
            </w:r>
          </w:p>
        </w:tc>
        <w:tc>
          <w:tcPr>
            <w:tcW w:w="1620" w:type="dxa"/>
            <w:tcBorders>
              <w:top w:val="single" w:sz="4" w:space="0" w:color="auto"/>
              <w:left w:val="single" w:sz="4" w:space="0" w:color="auto"/>
              <w:bottom w:val="single" w:sz="4" w:space="0" w:color="auto"/>
              <w:right w:val="single" w:sz="4" w:space="0" w:color="auto"/>
            </w:tcBorders>
          </w:tcPr>
          <w:p w:rsidR="00167AA6" w:rsidRPr="00C10A93" w:rsidP="00167AA6" w14:paraId="6254166C" w14:textId="612DBBE0">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bottom w:val="single" w:sz="4" w:space="0" w:color="auto"/>
              <w:right w:val="single" w:sz="4" w:space="0" w:color="auto"/>
            </w:tcBorders>
          </w:tcPr>
          <w:p w:rsidR="00167AA6" w:rsidRPr="00C10A93" w:rsidP="00167AA6" w14:paraId="4EED1CCD" w14:textId="19FDEFF2">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7976D011" w14:textId="5B9FDA1D">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24</w:t>
            </w:r>
            <w:r w:rsidRPr="00167AA6">
              <w:rPr>
                <w:b w:val="0"/>
                <w:color w:val="auto"/>
                <w:sz w:val="18"/>
                <w:szCs w:val="18"/>
              </w:rPr>
              <w:t>, 2026</w:t>
            </w:r>
          </w:p>
        </w:tc>
        <w:tc>
          <w:tcPr>
            <w:tcW w:w="1440" w:type="dxa"/>
            <w:tcBorders>
              <w:top w:val="single" w:sz="4" w:space="0" w:color="auto"/>
              <w:left w:val="single" w:sz="4" w:space="0" w:color="auto"/>
              <w:bottom w:val="single" w:sz="4" w:space="0" w:color="auto"/>
              <w:right w:val="single" w:sz="4" w:space="0" w:color="auto"/>
            </w:tcBorders>
          </w:tcPr>
          <w:p w:rsidR="00167AA6" w:rsidRPr="00C10A93" w:rsidP="00167AA6" w14:paraId="5E191615" w14:textId="5B3CB4BE">
            <w:pPr>
              <w:pStyle w:val="DisclaimerHeading"/>
              <w:keepLines/>
              <w:spacing w:before="40" w:after="40" w:line="220" w:lineRule="exact"/>
              <w:rPr>
                <w:color w:val="auto"/>
                <w:sz w:val="18"/>
                <w:szCs w:val="18"/>
              </w:rPr>
            </w:pPr>
            <w:r>
              <w:rPr>
                <w:b w:val="0"/>
                <w:color w:val="auto"/>
                <w:sz w:val="18"/>
                <w:szCs w:val="18"/>
              </w:rPr>
              <w:t>February 27, 2026</w:t>
            </w:r>
          </w:p>
        </w:tc>
      </w:tr>
      <w:tr w14:paraId="653172FA" w14:textId="77777777" w:rsidTr="00D971AD">
        <w:tblPrEx>
          <w:tblW w:w="9360" w:type="dxa"/>
          <w:tblLook w:val="04A0"/>
        </w:tblPrEx>
        <w:trPr>
          <w:trHeight w:val="331"/>
        </w:trPr>
        <w:tc>
          <w:tcPr>
            <w:tcW w:w="1530" w:type="dxa"/>
            <w:tcBorders>
              <w:top w:val="single" w:sz="4" w:space="0" w:color="auto"/>
              <w:right w:val="single" w:sz="4" w:space="0" w:color="auto"/>
            </w:tcBorders>
            <w:shd w:val="clear" w:color="auto" w:fill="E1F6FF"/>
          </w:tcPr>
          <w:p w:rsidR="00167AA6" w:rsidRPr="0055010D" w:rsidP="00167AA6" w14:paraId="23C69317" w14:textId="675880F4">
            <w:pPr>
              <w:pStyle w:val="DisclaimerHeading"/>
              <w:keepLines/>
              <w:spacing w:before="40" w:after="40" w:line="220" w:lineRule="exact"/>
              <w:jc w:val="left"/>
              <w:rPr>
                <w:color w:val="auto"/>
                <w:sz w:val="18"/>
                <w:szCs w:val="18"/>
              </w:rPr>
            </w:pPr>
            <w:r>
              <w:rPr>
                <w:color w:val="auto"/>
                <w:sz w:val="18"/>
                <w:szCs w:val="18"/>
              </w:rPr>
              <w:t>March 5, 2026</w:t>
            </w:r>
          </w:p>
        </w:tc>
        <w:tc>
          <w:tcPr>
            <w:tcW w:w="1620" w:type="dxa"/>
            <w:tcBorders>
              <w:top w:val="single" w:sz="4" w:space="0" w:color="auto"/>
              <w:left w:val="single" w:sz="4" w:space="0" w:color="auto"/>
              <w:right w:val="single" w:sz="4" w:space="0" w:color="auto"/>
            </w:tcBorders>
          </w:tcPr>
          <w:p w:rsidR="00167AA6" w:rsidRPr="00C10A93" w:rsidP="00167AA6" w14:paraId="1405AA5B" w14:textId="75AC19C1">
            <w:pPr>
              <w:pStyle w:val="DisclaimerHeading"/>
              <w:keepLines/>
              <w:spacing w:before="40" w:after="40" w:line="220" w:lineRule="exact"/>
              <w:rPr>
                <w:color w:val="auto"/>
                <w:sz w:val="18"/>
                <w:szCs w:val="18"/>
              </w:rPr>
            </w:pPr>
            <w:r>
              <w:rPr>
                <w:b w:val="0"/>
                <w:color w:val="auto"/>
                <w:sz w:val="18"/>
                <w:szCs w:val="18"/>
              </w:rPr>
              <w:t>9:00 a</w:t>
            </w:r>
            <w:r w:rsidR="00D971AD">
              <w:rPr>
                <w:b w:val="0"/>
                <w:color w:val="auto"/>
                <w:sz w:val="18"/>
                <w:szCs w:val="18"/>
              </w:rPr>
              <w:t>.</w:t>
            </w:r>
            <w:r>
              <w:rPr>
                <w:b w:val="0"/>
                <w:color w:val="auto"/>
                <w:sz w:val="18"/>
                <w:szCs w:val="18"/>
              </w:rPr>
              <w:t>m</w:t>
            </w:r>
            <w:r w:rsidR="00D971AD">
              <w:rPr>
                <w:b w:val="0"/>
                <w:color w:val="auto"/>
                <w:sz w:val="18"/>
                <w:szCs w:val="18"/>
              </w:rPr>
              <w:t>.</w:t>
            </w:r>
            <w:r>
              <w:rPr>
                <w:b w:val="0"/>
                <w:color w:val="auto"/>
                <w:sz w:val="18"/>
                <w:szCs w:val="18"/>
              </w:rPr>
              <w:t xml:space="preserve"> - 4:30 p</w:t>
            </w:r>
            <w:r w:rsidR="00D971AD">
              <w:rPr>
                <w:b w:val="0"/>
                <w:color w:val="auto"/>
                <w:sz w:val="18"/>
                <w:szCs w:val="18"/>
              </w:rPr>
              <w:t>.</w:t>
            </w:r>
            <w:r>
              <w:rPr>
                <w:b w:val="0"/>
                <w:color w:val="auto"/>
                <w:sz w:val="18"/>
                <w:szCs w:val="18"/>
              </w:rPr>
              <w:t>m</w:t>
            </w:r>
            <w:r w:rsidR="00D971AD">
              <w:rPr>
                <w:b w:val="0"/>
                <w:color w:val="auto"/>
                <w:sz w:val="18"/>
                <w:szCs w:val="18"/>
              </w:rPr>
              <w:t>.</w:t>
            </w:r>
          </w:p>
        </w:tc>
        <w:tc>
          <w:tcPr>
            <w:tcW w:w="3330" w:type="dxa"/>
            <w:tcBorders>
              <w:top w:val="single" w:sz="4" w:space="0" w:color="auto"/>
              <w:left w:val="single" w:sz="4" w:space="0" w:color="auto"/>
              <w:right w:val="single" w:sz="4" w:space="0" w:color="auto"/>
            </w:tcBorders>
          </w:tcPr>
          <w:p w:rsidR="00167AA6" w:rsidRPr="00C10A93" w:rsidP="00167AA6" w14:paraId="38652619" w14:textId="63DB5313">
            <w:pPr>
              <w:pStyle w:val="DisclaimerHeading"/>
              <w:keepLines/>
              <w:spacing w:before="40" w:after="40" w:line="220" w:lineRule="exact"/>
              <w:rPr>
                <w:color w:val="auto"/>
                <w:sz w:val="18"/>
                <w:szCs w:val="18"/>
              </w:rPr>
            </w:pPr>
            <w:r w:rsidRPr="00E624A7">
              <w:rPr>
                <w:b w:val="0"/>
                <w:color w:val="auto"/>
                <w:sz w:val="18"/>
                <w:szCs w:val="18"/>
              </w:rPr>
              <w:t>PJM Conference &amp; Training Center and Web</w:t>
            </w:r>
            <w:r>
              <w:rPr>
                <w:b w:val="0"/>
                <w:color w:val="auto"/>
                <w:sz w:val="18"/>
                <w:szCs w:val="18"/>
              </w:rPr>
              <w:t>e</w:t>
            </w:r>
            <w:r w:rsidRPr="00E624A7">
              <w:rPr>
                <w:b w:val="0"/>
                <w:color w:val="auto"/>
                <w:sz w:val="18"/>
                <w:szCs w:val="18"/>
              </w:rPr>
              <w:t>x</w:t>
            </w:r>
          </w:p>
        </w:tc>
        <w:tc>
          <w:tcPr>
            <w:tcW w:w="1440" w:type="dxa"/>
            <w:tcBorders>
              <w:top w:val="single" w:sz="4" w:space="0" w:color="auto"/>
              <w:left w:val="single" w:sz="4" w:space="0" w:color="auto"/>
              <w:right w:val="single" w:sz="4" w:space="0" w:color="auto"/>
            </w:tcBorders>
          </w:tcPr>
          <w:p w:rsidR="00167AA6" w:rsidRPr="00C10A93" w:rsidP="00167AA6" w14:paraId="1B735A09" w14:textId="484F24A1">
            <w:pPr>
              <w:pStyle w:val="DisclaimerHeading"/>
              <w:keepLines/>
              <w:spacing w:before="40" w:after="40" w:line="220" w:lineRule="exact"/>
              <w:rPr>
                <w:color w:val="auto"/>
                <w:sz w:val="18"/>
                <w:szCs w:val="18"/>
              </w:rPr>
            </w:pPr>
            <w:r w:rsidRPr="00167AA6">
              <w:rPr>
                <w:b w:val="0"/>
                <w:color w:val="auto"/>
                <w:sz w:val="18"/>
                <w:szCs w:val="18"/>
              </w:rPr>
              <w:t xml:space="preserve">February </w:t>
            </w:r>
            <w:r>
              <w:rPr>
                <w:b w:val="0"/>
                <w:color w:val="auto"/>
                <w:sz w:val="18"/>
                <w:szCs w:val="18"/>
              </w:rPr>
              <w:t>25</w:t>
            </w:r>
            <w:r w:rsidRPr="00167AA6">
              <w:rPr>
                <w:b w:val="0"/>
                <w:color w:val="auto"/>
                <w:sz w:val="18"/>
                <w:szCs w:val="18"/>
              </w:rPr>
              <w:t>, 2026</w:t>
            </w:r>
          </w:p>
        </w:tc>
        <w:tc>
          <w:tcPr>
            <w:tcW w:w="1440" w:type="dxa"/>
            <w:tcBorders>
              <w:top w:val="single" w:sz="4" w:space="0" w:color="auto"/>
              <w:left w:val="single" w:sz="4" w:space="0" w:color="auto"/>
              <w:right w:val="single" w:sz="4" w:space="0" w:color="auto"/>
            </w:tcBorders>
          </w:tcPr>
          <w:p w:rsidR="00167AA6" w:rsidRPr="00C10A93" w:rsidP="00167AA6" w14:paraId="3351D3A7" w14:textId="18FEF367">
            <w:pPr>
              <w:pStyle w:val="DisclaimerHeading"/>
              <w:keepLines/>
              <w:spacing w:before="40" w:after="40" w:line="220" w:lineRule="exact"/>
              <w:rPr>
                <w:color w:val="auto"/>
                <w:sz w:val="18"/>
                <w:szCs w:val="18"/>
              </w:rPr>
            </w:pPr>
            <w:r>
              <w:rPr>
                <w:b w:val="0"/>
                <w:color w:val="auto"/>
                <w:sz w:val="18"/>
                <w:szCs w:val="18"/>
              </w:rPr>
              <w:t>March 2, 2026</w:t>
            </w: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4AFB8802">
      <w:pPr>
        <w:pStyle w:val="Author"/>
        <w:keepNext/>
        <w:keepLines/>
      </w:pPr>
      <w:r>
        <w:t xml:space="preserve">Author: </w:t>
      </w:r>
      <w:r w:rsidR="00435502">
        <w:t xml:space="preserve">M. </w:t>
      </w:r>
      <w:r w:rsidR="0080437D">
        <w:t>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8D64974E"/>
    <w:lvl w:ilvl="0">
      <w:start w:val="1"/>
      <w:numFmt w:val="decimal"/>
      <w:lvlText w:val="%1."/>
      <w:lvlJc w:val="left"/>
      <w:pPr>
        <w:ind w:left="360" w:hanging="360"/>
      </w:pPr>
      <w:rPr>
        <w:b w:val="0"/>
        <w:bCs/>
      </w:r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0951D3"/>
    <w:multiLevelType w:val="hybridMultilevel"/>
    <w:tmpl w:val="BE484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0"/>
  </w:num>
  <w:num w:numId="11">
    <w:abstractNumId w:val="5"/>
  </w:num>
  <w:num w:numId="12">
    <w:abstractNumId w:val="3"/>
  </w:num>
  <w:num w:numId="13">
    <w:abstractNumId w:val="1"/>
  </w:num>
  <w:num w:numId="14">
    <w:abstractNumId w:val="1"/>
  </w:num>
  <w:num w:numId="15">
    <w:abstractNumId w:val="10"/>
  </w:num>
  <w:num w:numId="16">
    <w:abstractNumId w:val="7"/>
  </w:num>
  <w:num w:numId="17">
    <w:abstractNumId w:val="7"/>
  </w:num>
  <w:num w:numId="18">
    <w:abstractNumId w:val="9"/>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10571"/>
    <w:rsid w:val="000160E4"/>
    <w:rsid w:val="00017303"/>
    <w:rsid w:val="00022958"/>
    <w:rsid w:val="000232DF"/>
    <w:rsid w:val="0002752F"/>
    <w:rsid w:val="00027F49"/>
    <w:rsid w:val="000333FF"/>
    <w:rsid w:val="000538D7"/>
    <w:rsid w:val="00065D38"/>
    <w:rsid w:val="0006798D"/>
    <w:rsid w:val="00087DFA"/>
    <w:rsid w:val="00092135"/>
    <w:rsid w:val="00092B99"/>
    <w:rsid w:val="00095E8F"/>
    <w:rsid w:val="00096230"/>
    <w:rsid w:val="00097359"/>
    <w:rsid w:val="000D7484"/>
    <w:rsid w:val="00117AF9"/>
    <w:rsid w:val="00120F93"/>
    <w:rsid w:val="00121F58"/>
    <w:rsid w:val="00135A85"/>
    <w:rsid w:val="001369EC"/>
    <w:rsid w:val="00146D1F"/>
    <w:rsid w:val="001644E0"/>
    <w:rsid w:val="001678E8"/>
    <w:rsid w:val="00167AA6"/>
    <w:rsid w:val="00170E02"/>
    <w:rsid w:val="0018776C"/>
    <w:rsid w:val="00187C12"/>
    <w:rsid w:val="001904B1"/>
    <w:rsid w:val="001B2242"/>
    <w:rsid w:val="001C0CC0"/>
    <w:rsid w:val="001C1DFE"/>
    <w:rsid w:val="001D3B68"/>
    <w:rsid w:val="001F50E2"/>
    <w:rsid w:val="00200A1B"/>
    <w:rsid w:val="002113BD"/>
    <w:rsid w:val="002354AA"/>
    <w:rsid w:val="00246ED8"/>
    <w:rsid w:val="0025139E"/>
    <w:rsid w:val="002548A6"/>
    <w:rsid w:val="002552F1"/>
    <w:rsid w:val="002840BD"/>
    <w:rsid w:val="002A1240"/>
    <w:rsid w:val="002A28BA"/>
    <w:rsid w:val="002B0192"/>
    <w:rsid w:val="002B2CB6"/>
    <w:rsid w:val="002B2F98"/>
    <w:rsid w:val="002C1752"/>
    <w:rsid w:val="002C3281"/>
    <w:rsid w:val="002C6057"/>
    <w:rsid w:val="002D287A"/>
    <w:rsid w:val="002E54C8"/>
    <w:rsid w:val="002F6131"/>
    <w:rsid w:val="003041C0"/>
    <w:rsid w:val="00305238"/>
    <w:rsid w:val="00320050"/>
    <w:rsid w:val="00322C4C"/>
    <w:rsid w:val="003251CE"/>
    <w:rsid w:val="003307E1"/>
    <w:rsid w:val="00335687"/>
    <w:rsid w:val="00337321"/>
    <w:rsid w:val="003476C8"/>
    <w:rsid w:val="003511A0"/>
    <w:rsid w:val="00367175"/>
    <w:rsid w:val="00387585"/>
    <w:rsid w:val="00394850"/>
    <w:rsid w:val="003A5AC8"/>
    <w:rsid w:val="003B55E1"/>
    <w:rsid w:val="003C3320"/>
    <w:rsid w:val="003D12E8"/>
    <w:rsid w:val="003D7E5C"/>
    <w:rsid w:val="003E7A73"/>
    <w:rsid w:val="003F046E"/>
    <w:rsid w:val="003F332F"/>
    <w:rsid w:val="004101CE"/>
    <w:rsid w:val="004319D7"/>
    <w:rsid w:val="00435502"/>
    <w:rsid w:val="0046043F"/>
    <w:rsid w:val="00464C76"/>
    <w:rsid w:val="00471EF6"/>
    <w:rsid w:val="00491490"/>
    <w:rsid w:val="00491965"/>
    <w:rsid w:val="00494494"/>
    <w:rsid w:val="004969FA"/>
    <w:rsid w:val="004F01F9"/>
    <w:rsid w:val="004F3D57"/>
    <w:rsid w:val="00525603"/>
    <w:rsid w:val="00527104"/>
    <w:rsid w:val="00542E77"/>
    <w:rsid w:val="0055010D"/>
    <w:rsid w:val="00564DEE"/>
    <w:rsid w:val="00566CBF"/>
    <w:rsid w:val="0057441E"/>
    <w:rsid w:val="005A5D0D"/>
    <w:rsid w:val="005B1CAE"/>
    <w:rsid w:val="005B1DCA"/>
    <w:rsid w:val="005D230C"/>
    <w:rsid w:val="005D6D05"/>
    <w:rsid w:val="005F32C4"/>
    <w:rsid w:val="005F35D9"/>
    <w:rsid w:val="006012A1"/>
    <w:rsid w:val="00601B76"/>
    <w:rsid w:val="006024A0"/>
    <w:rsid w:val="00602967"/>
    <w:rsid w:val="00604474"/>
    <w:rsid w:val="00606F11"/>
    <w:rsid w:val="00610D94"/>
    <w:rsid w:val="006116EC"/>
    <w:rsid w:val="00611B03"/>
    <w:rsid w:val="00634533"/>
    <w:rsid w:val="0063557A"/>
    <w:rsid w:val="00637160"/>
    <w:rsid w:val="00643705"/>
    <w:rsid w:val="0067215C"/>
    <w:rsid w:val="0067429C"/>
    <w:rsid w:val="006A280A"/>
    <w:rsid w:val="006A3C81"/>
    <w:rsid w:val="006A3CF6"/>
    <w:rsid w:val="006B2769"/>
    <w:rsid w:val="006C738F"/>
    <w:rsid w:val="006D2909"/>
    <w:rsid w:val="006D69DA"/>
    <w:rsid w:val="006F7A52"/>
    <w:rsid w:val="00711249"/>
    <w:rsid w:val="00712CAA"/>
    <w:rsid w:val="00716A8B"/>
    <w:rsid w:val="00730F76"/>
    <w:rsid w:val="007431D3"/>
    <w:rsid w:val="00744A45"/>
    <w:rsid w:val="0075340F"/>
    <w:rsid w:val="00754C6D"/>
    <w:rsid w:val="00755096"/>
    <w:rsid w:val="007663CA"/>
    <w:rsid w:val="007703B4"/>
    <w:rsid w:val="00773F35"/>
    <w:rsid w:val="00777623"/>
    <w:rsid w:val="00797442"/>
    <w:rsid w:val="00797DA2"/>
    <w:rsid w:val="007A34A3"/>
    <w:rsid w:val="007C2954"/>
    <w:rsid w:val="007C55B5"/>
    <w:rsid w:val="007C6FB9"/>
    <w:rsid w:val="007D4F70"/>
    <w:rsid w:val="007E0E41"/>
    <w:rsid w:val="007E7CAB"/>
    <w:rsid w:val="0080148F"/>
    <w:rsid w:val="0080437D"/>
    <w:rsid w:val="00813B57"/>
    <w:rsid w:val="0083232B"/>
    <w:rsid w:val="00837B12"/>
    <w:rsid w:val="00841282"/>
    <w:rsid w:val="00845940"/>
    <w:rsid w:val="00850BE5"/>
    <w:rsid w:val="008518CB"/>
    <w:rsid w:val="008552A3"/>
    <w:rsid w:val="00863DFD"/>
    <w:rsid w:val="008727A5"/>
    <w:rsid w:val="00882652"/>
    <w:rsid w:val="008A28CE"/>
    <w:rsid w:val="008B2B8E"/>
    <w:rsid w:val="008D0379"/>
    <w:rsid w:val="008D21B5"/>
    <w:rsid w:val="008E1111"/>
    <w:rsid w:val="008F561F"/>
    <w:rsid w:val="00911156"/>
    <w:rsid w:val="00914902"/>
    <w:rsid w:val="00917386"/>
    <w:rsid w:val="009237EA"/>
    <w:rsid w:val="009360CC"/>
    <w:rsid w:val="009408C9"/>
    <w:rsid w:val="0095194C"/>
    <w:rsid w:val="009627A9"/>
    <w:rsid w:val="00965FF9"/>
    <w:rsid w:val="0097702E"/>
    <w:rsid w:val="009836F1"/>
    <w:rsid w:val="00987087"/>
    <w:rsid w:val="00991528"/>
    <w:rsid w:val="009A06B2"/>
    <w:rsid w:val="009A5430"/>
    <w:rsid w:val="009B2931"/>
    <w:rsid w:val="009B2B7E"/>
    <w:rsid w:val="009C15C4"/>
    <w:rsid w:val="009C3931"/>
    <w:rsid w:val="009C48AA"/>
    <w:rsid w:val="009C7250"/>
    <w:rsid w:val="009F53F9"/>
    <w:rsid w:val="00A0149A"/>
    <w:rsid w:val="00A05391"/>
    <w:rsid w:val="00A11A2E"/>
    <w:rsid w:val="00A317A9"/>
    <w:rsid w:val="00A35161"/>
    <w:rsid w:val="00A36FEA"/>
    <w:rsid w:val="00A41149"/>
    <w:rsid w:val="00A56D57"/>
    <w:rsid w:val="00A75ADE"/>
    <w:rsid w:val="00A86205"/>
    <w:rsid w:val="00A92700"/>
    <w:rsid w:val="00A931C3"/>
    <w:rsid w:val="00A95471"/>
    <w:rsid w:val="00A95693"/>
    <w:rsid w:val="00AB7769"/>
    <w:rsid w:val="00AC2247"/>
    <w:rsid w:val="00AC5B86"/>
    <w:rsid w:val="00AD559A"/>
    <w:rsid w:val="00AE056A"/>
    <w:rsid w:val="00AF7AD9"/>
    <w:rsid w:val="00B02ED2"/>
    <w:rsid w:val="00B1670B"/>
    <w:rsid w:val="00B16D95"/>
    <w:rsid w:val="00B20316"/>
    <w:rsid w:val="00B2596F"/>
    <w:rsid w:val="00B34E3C"/>
    <w:rsid w:val="00B42FAE"/>
    <w:rsid w:val="00B62597"/>
    <w:rsid w:val="00B7365B"/>
    <w:rsid w:val="00B73CD0"/>
    <w:rsid w:val="00B73D9D"/>
    <w:rsid w:val="00BA4045"/>
    <w:rsid w:val="00BA6146"/>
    <w:rsid w:val="00BB531B"/>
    <w:rsid w:val="00BB6921"/>
    <w:rsid w:val="00BF312D"/>
    <w:rsid w:val="00BF331B"/>
    <w:rsid w:val="00C0546D"/>
    <w:rsid w:val="00C05E98"/>
    <w:rsid w:val="00C10A93"/>
    <w:rsid w:val="00C32FB1"/>
    <w:rsid w:val="00C41455"/>
    <w:rsid w:val="00C439EC"/>
    <w:rsid w:val="00C5307B"/>
    <w:rsid w:val="00C55835"/>
    <w:rsid w:val="00C61DD0"/>
    <w:rsid w:val="00C662B2"/>
    <w:rsid w:val="00C72168"/>
    <w:rsid w:val="00C72D79"/>
    <w:rsid w:val="00C757F4"/>
    <w:rsid w:val="00C75A9D"/>
    <w:rsid w:val="00C938AA"/>
    <w:rsid w:val="00C9580C"/>
    <w:rsid w:val="00CA49B9"/>
    <w:rsid w:val="00CB19DE"/>
    <w:rsid w:val="00CB4248"/>
    <w:rsid w:val="00CB475B"/>
    <w:rsid w:val="00CC1B47"/>
    <w:rsid w:val="00CC5AC9"/>
    <w:rsid w:val="00CD3598"/>
    <w:rsid w:val="00CE1087"/>
    <w:rsid w:val="00CE451E"/>
    <w:rsid w:val="00CF1A5C"/>
    <w:rsid w:val="00D00D37"/>
    <w:rsid w:val="00D06296"/>
    <w:rsid w:val="00D06EC8"/>
    <w:rsid w:val="00D133AB"/>
    <w:rsid w:val="00D136EA"/>
    <w:rsid w:val="00D22DFD"/>
    <w:rsid w:val="00D251ED"/>
    <w:rsid w:val="00D827A6"/>
    <w:rsid w:val="00D831E4"/>
    <w:rsid w:val="00D95949"/>
    <w:rsid w:val="00D971AD"/>
    <w:rsid w:val="00DA23DE"/>
    <w:rsid w:val="00DB29E9"/>
    <w:rsid w:val="00DB7071"/>
    <w:rsid w:val="00DE34CF"/>
    <w:rsid w:val="00DE77B9"/>
    <w:rsid w:val="00DF1112"/>
    <w:rsid w:val="00E020BB"/>
    <w:rsid w:val="00E1605D"/>
    <w:rsid w:val="00E32B6B"/>
    <w:rsid w:val="00E371A1"/>
    <w:rsid w:val="00E5387A"/>
    <w:rsid w:val="00E55E84"/>
    <w:rsid w:val="00E624A7"/>
    <w:rsid w:val="00E7280D"/>
    <w:rsid w:val="00E92FF6"/>
    <w:rsid w:val="00E946F8"/>
    <w:rsid w:val="00EA418F"/>
    <w:rsid w:val="00EB68B0"/>
    <w:rsid w:val="00EC6474"/>
    <w:rsid w:val="00F17190"/>
    <w:rsid w:val="00F4190F"/>
    <w:rsid w:val="00F5077C"/>
    <w:rsid w:val="00F5355A"/>
    <w:rsid w:val="00FA5955"/>
    <w:rsid w:val="00FA6790"/>
    <w:rsid w:val="00FA7BE7"/>
    <w:rsid w:val="00FB1739"/>
    <w:rsid w:val="00FC2B9A"/>
    <w:rsid w:val="00FD5483"/>
    <w:rsid w:val="00FF0AD0"/>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BB1201F5-0879-45CB-B540-EA15504F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 w:type="paragraph" w:styleId="ListParagraph">
    <w:name w:val="List Paragraph"/>
    <w:basedOn w:val="Normal"/>
    <w:uiPriority w:val="34"/>
    <w:qFormat/>
    <w:rsid w:val="00DB7071"/>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