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4C08" w14:textId="77777777" w:rsidR="003649A4" w:rsidRPr="00821948" w:rsidRDefault="003649A4">
      <w:r w:rsidRPr="00821948">
        <w:tab/>
        <w:t xml:space="preserve"> </w:t>
      </w:r>
    </w:p>
    <w:p w14:paraId="34F2AAEB" w14:textId="77777777" w:rsidR="003649A4" w:rsidRPr="00821948" w:rsidRDefault="003649A4"/>
    <w:p w14:paraId="5C93D54F" w14:textId="77777777" w:rsidR="003649A4" w:rsidRPr="00821948" w:rsidRDefault="003649A4"/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3649A4" w:rsidRPr="00821948" w14:paraId="7A56061D" w14:textId="77777777">
        <w:tc>
          <w:tcPr>
            <w:tcW w:w="6588" w:type="dxa"/>
            <w:shd w:val="clear" w:color="auto" w:fill="auto"/>
          </w:tcPr>
          <w:p w14:paraId="2E6B0CAB" w14:textId="77777777" w:rsidR="003649A4" w:rsidRPr="00821948" w:rsidRDefault="003649A4"/>
          <w:p w14:paraId="5BD1D536" w14:textId="77777777" w:rsidR="003649A4" w:rsidRPr="00821948" w:rsidRDefault="006B0854">
            <w:r w:rsidRPr="00821948">
              <w:pict w14:anchorId="6B4A3B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40.5pt;mso-wrap-style:none;mso-position-horizontal-relative:char;mso-position-vertical-relative:line;v-text-anchor:middle" o:userdrawn="t" fillcolor="gray">
                  <v:imagedata r:id="rId8" o:title=""/>
                </v:shape>
              </w:pict>
            </w:r>
          </w:p>
        </w:tc>
        <w:tc>
          <w:tcPr>
            <w:tcW w:w="6588" w:type="dxa"/>
            <w:shd w:val="clear" w:color="auto" w:fill="auto"/>
          </w:tcPr>
          <w:p w14:paraId="1BED5156" w14:textId="77777777" w:rsidR="003649A4" w:rsidRPr="00821948" w:rsidRDefault="006B0854">
            <w:pPr>
              <w:jc w:val="right"/>
            </w:pPr>
            <w:r w:rsidRPr="00821948">
              <w:pict w14:anchorId="19C980AE">
                <v:shape id="_x0000_i1026" type="#_x0000_t75" style="width:117pt;height:76.5pt;mso-position-horizontal-relative:char;mso-position-vertical-relative:line" fillcolor="gray">
                  <v:imagedata r:id="rId9" o:title=""/>
                </v:shape>
              </w:pict>
            </w:r>
          </w:p>
        </w:tc>
      </w:tr>
    </w:tbl>
    <w:p w14:paraId="51357760" w14:textId="77777777" w:rsidR="003649A4" w:rsidRPr="00821948" w:rsidRDefault="003649A4"/>
    <w:p w14:paraId="0B318CFF" w14:textId="77777777" w:rsidR="003649A4" w:rsidRPr="00821948" w:rsidRDefault="003649A4"/>
    <w:p w14:paraId="06FAD46D" w14:textId="77777777" w:rsidR="003649A4" w:rsidRPr="00821948" w:rsidRDefault="003649A4"/>
    <w:p w14:paraId="5FB41F81" w14:textId="77777777" w:rsidR="003649A4" w:rsidRPr="00821948" w:rsidRDefault="003649A4">
      <w:pPr>
        <w:ind w:firstLine="720"/>
      </w:pPr>
      <w:r w:rsidRPr="00821948">
        <w:tab/>
      </w:r>
      <w:r w:rsidRPr="00821948">
        <w:tab/>
      </w:r>
      <w:r w:rsidRPr="00821948">
        <w:tab/>
      </w:r>
      <w:r w:rsidRPr="00821948">
        <w:tab/>
      </w:r>
      <w:r w:rsidRPr="00821948">
        <w:tab/>
      </w:r>
      <w:r w:rsidRPr="00821948">
        <w:tab/>
      </w:r>
      <w:r w:rsidRPr="00821948">
        <w:tab/>
      </w:r>
      <w:r w:rsidRPr="00821948">
        <w:tab/>
      </w:r>
      <w:r w:rsidRPr="00821948">
        <w:tab/>
      </w:r>
      <w:r w:rsidRPr="00821948">
        <w:tab/>
      </w:r>
    </w:p>
    <w:p w14:paraId="1C2983C3" w14:textId="77777777" w:rsidR="003649A4" w:rsidRPr="00821948" w:rsidRDefault="003649A4">
      <w:pPr>
        <w:ind w:left="10080" w:firstLine="720"/>
      </w:pPr>
    </w:p>
    <w:p w14:paraId="7FB098E4" w14:textId="77777777" w:rsidR="003649A4" w:rsidRPr="00821948" w:rsidRDefault="003649A4"/>
    <w:p w14:paraId="34E666DA" w14:textId="77777777" w:rsidR="003649A4" w:rsidRPr="00821948" w:rsidRDefault="003649A4">
      <w:r w:rsidRPr="00821948">
        <w:tab/>
      </w:r>
    </w:p>
    <w:p w14:paraId="06049523" w14:textId="77777777" w:rsidR="003649A4" w:rsidRPr="00821948" w:rsidRDefault="003649A4"/>
    <w:p w14:paraId="78DA0E51" w14:textId="77777777" w:rsidR="003649A4" w:rsidRPr="00821948" w:rsidRDefault="003649A4">
      <w:pPr>
        <w:rPr>
          <w:rFonts w:ascii="Arial" w:hAnsi="Arial" w:cs="Arial"/>
          <w:b/>
          <w:sz w:val="36"/>
        </w:rPr>
      </w:pPr>
      <w:r w:rsidRPr="00821948">
        <w:rPr>
          <w:rFonts w:ascii="Arial" w:hAnsi="Arial" w:cs="Arial"/>
          <w:b/>
          <w:sz w:val="36"/>
        </w:rPr>
        <w:t>MSRS Report Format Documentation</w:t>
      </w:r>
    </w:p>
    <w:p w14:paraId="606438E1" w14:textId="77777777" w:rsidR="003649A4" w:rsidRPr="00821948" w:rsidRDefault="003649A4">
      <w:pPr>
        <w:rPr>
          <w:rFonts w:ascii="Arial" w:hAnsi="Arial" w:cs="Arial"/>
          <w:b/>
          <w:sz w:val="40"/>
        </w:rPr>
      </w:pPr>
    </w:p>
    <w:p w14:paraId="7FE6E886" w14:textId="77777777" w:rsidR="003649A4" w:rsidRPr="00821948" w:rsidRDefault="003649A4">
      <w:pPr>
        <w:rPr>
          <w:rFonts w:ascii="Arial" w:hAnsi="Arial" w:cs="Arial"/>
          <w:b/>
          <w:sz w:val="40"/>
        </w:rPr>
      </w:pPr>
      <w:r w:rsidRPr="00821948">
        <w:rPr>
          <w:rFonts w:ascii="Arial" w:hAnsi="Arial" w:cs="Arial"/>
          <w:b/>
          <w:sz w:val="40"/>
        </w:rPr>
        <w:t>Regula</w:t>
      </w:r>
      <w:bookmarkStart w:id="0" w:name="_GoBack"/>
      <w:bookmarkEnd w:id="0"/>
      <w:r w:rsidRPr="00821948">
        <w:rPr>
          <w:rFonts w:ascii="Arial" w:hAnsi="Arial" w:cs="Arial"/>
          <w:b/>
          <w:sz w:val="40"/>
        </w:rPr>
        <w:t xml:space="preserve">tion </w:t>
      </w:r>
      <w:r w:rsidR="004C7E96" w:rsidRPr="00821948">
        <w:rPr>
          <w:rFonts w:ascii="Arial" w:hAnsi="Arial" w:cs="Arial"/>
          <w:b/>
          <w:sz w:val="40"/>
        </w:rPr>
        <w:t xml:space="preserve">Market </w:t>
      </w:r>
      <w:r w:rsidRPr="00821948">
        <w:rPr>
          <w:rFonts w:ascii="Arial" w:hAnsi="Arial" w:cs="Arial"/>
          <w:b/>
          <w:sz w:val="40"/>
        </w:rPr>
        <w:t>Credits</w:t>
      </w:r>
    </w:p>
    <w:p w14:paraId="5873663F" w14:textId="77777777" w:rsidR="003649A4" w:rsidRPr="00821948" w:rsidRDefault="003649A4">
      <w:pPr>
        <w:rPr>
          <w:rFonts w:ascii="Arial" w:hAnsi="Arial" w:cs="Arial"/>
          <w:b/>
          <w:sz w:val="40"/>
        </w:rPr>
      </w:pPr>
    </w:p>
    <w:p w14:paraId="5E266B9B" w14:textId="77777777" w:rsidR="003649A4" w:rsidRPr="00821948" w:rsidRDefault="003649A4">
      <w:pPr>
        <w:rPr>
          <w:rFonts w:ascii="Arial" w:hAnsi="Arial" w:cs="Arial"/>
          <w:sz w:val="22"/>
        </w:rPr>
      </w:pPr>
      <w:r w:rsidRPr="00821948">
        <w:rPr>
          <w:rFonts w:ascii="Arial" w:hAnsi="Arial" w:cs="Arial"/>
          <w:b/>
          <w:sz w:val="28"/>
        </w:rPr>
        <w:t xml:space="preserve">Version </w:t>
      </w:r>
      <w:r w:rsidR="004C7E96" w:rsidRPr="00821948">
        <w:rPr>
          <w:rFonts w:ascii="Arial" w:hAnsi="Arial" w:cs="Arial"/>
          <w:b/>
          <w:sz w:val="28"/>
        </w:rPr>
        <w:t>1</w:t>
      </w:r>
    </w:p>
    <w:p w14:paraId="02FB08A8" w14:textId="77777777" w:rsidR="003649A4" w:rsidRPr="00821948" w:rsidRDefault="003649A4"/>
    <w:p w14:paraId="7387C55B" w14:textId="77777777" w:rsidR="003649A4" w:rsidRPr="00821948" w:rsidRDefault="003649A4"/>
    <w:p w14:paraId="3AAB3A55" w14:textId="77777777" w:rsidR="003649A4" w:rsidRPr="00821948" w:rsidRDefault="003649A4"/>
    <w:p w14:paraId="55E9AC9D" w14:textId="77777777" w:rsidR="003649A4" w:rsidRPr="00821948" w:rsidRDefault="003649A4"/>
    <w:p w14:paraId="008FE5CB" w14:textId="77777777" w:rsidR="003649A4" w:rsidRPr="00821948" w:rsidRDefault="003649A4"/>
    <w:p w14:paraId="2B6F5FA9" w14:textId="77777777" w:rsidR="003649A4" w:rsidRPr="00821948" w:rsidRDefault="003649A4"/>
    <w:p w14:paraId="6AB591BD" w14:textId="77777777" w:rsidR="003649A4" w:rsidRPr="00821948" w:rsidRDefault="003649A4"/>
    <w:p w14:paraId="52A4DF9B" w14:textId="77777777" w:rsidR="003649A4" w:rsidRPr="00821948" w:rsidRDefault="003649A4"/>
    <w:p w14:paraId="1A231AAC" w14:textId="77777777" w:rsidR="003649A4" w:rsidRPr="00821948" w:rsidRDefault="003649A4"/>
    <w:p w14:paraId="4FC2F866" w14:textId="77777777" w:rsidR="003649A4" w:rsidRPr="00821948" w:rsidRDefault="003649A4"/>
    <w:p w14:paraId="05C03893" w14:textId="77777777" w:rsidR="003649A4" w:rsidRPr="00821948" w:rsidRDefault="003649A4"/>
    <w:p w14:paraId="3A4718DF" w14:textId="77777777" w:rsidR="003649A4" w:rsidRPr="00821948" w:rsidRDefault="003649A4"/>
    <w:p w14:paraId="54920910" w14:textId="77777777" w:rsidR="003649A4" w:rsidRPr="00821948" w:rsidRDefault="003649A4"/>
    <w:p w14:paraId="017293CB" w14:textId="77777777" w:rsidR="003649A4" w:rsidRPr="00821948" w:rsidRDefault="003649A4">
      <w:pPr>
        <w:rPr>
          <w:rFonts w:ascii="Arial" w:hAnsi="Arial" w:cs="Arial"/>
        </w:rPr>
      </w:pPr>
      <w:r w:rsidRPr="00821948">
        <w:rPr>
          <w:rFonts w:ascii="Arial" w:hAnsi="Arial" w:cs="Arial"/>
        </w:rPr>
        <w:t>Revision History</w:t>
      </w:r>
    </w:p>
    <w:p w14:paraId="239C7238" w14:textId="77777777" w:rsidR="003649A4" w:rsidRPr="00821948" w:rsidRDefault="003649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1698"/>
        <w:gridCol w:w="7369"/>
      </w:tblGrid>
      <w:tr w:rsidR="00821948" w:rsidRPr="00821948" w14:paraId="1E3540FF" w14:textId="77777777" w:rsidTr="00E73D8F">
        <w:trPr>
          <w:trHeight w:val="142"/>
        </w:trPr>
        <w:tc>
          <w:tcPr>
            <w:tcW w:w="2109" w:type="dxa"/>
            <w:shd w:val="clear" w:color="auto" w:fill="808080"/>
          </w:tcPr>
          <w:p w14:paraId="43D68CE9" w14:textId="77777777" w:rsidR="003649A4" w:rsidRPr="00821948" w:rsidRDefault="00E73D8F" w:rsidP="00E73D8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821948"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1698" w:type="dxa"/>
            <w:shd w:val="clear" w:color="auto" w:fill="808080"/>
          </w:tcPr>
          <w:p w14:paraId="18E89F53" w14:textId="77777777" w:rsidR="003649A4" w:rsidRPr="00821948" w:rsidRDefault="003649A4" w:rsidP="00E73D8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821948"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369" w:type="dxa"/>
            <w:shd w:val="clear" w:color="auto" w:fill="808080"/>
          </w:tcPr>
          <w:p w14:paraId="2F34F8B0" w14:textId="77777777" w:rsidR="003649A4" w:rsidRPr="00821948" w:rsidRDefault="003649A4">
            <w:pPr>
              <w:rPr>
                <w:rFonts w:ascii="Arial" w:hAnsi="Arial" w:cs="Arial"/>
                <w:b/>
                <w:caps/>
                <w:sz w:val="16"/>
              </w:rPr>
            </w:pPr>
            <w:r w:rsidRPr="00821948"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649A4" w:rsidRPr="00821948" w14:paraId="35699061" w14:textId="77777777" w:rsidTr="00E73D8F">
        <w:trPr>
          <w:trHeight w:val="178"/>
        </w:trPr>
        <w:tc>
          <w:tcPr>
            <w:tcW w:w="2109" w:type="dxa"/>
          </w:tcPr>
          <w:p w14:paraId="7C0B2DEE" w14:textId="77777777" w:rsidR="003649A4" w:rsidRPr="00821948" w:rsidRDefault="004C7E96" w:rsidP="00E73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8/1/2025</w:t>
            </w:r>
          </w:p>
        </w:tc>
        <w:tc>
          <w:tcPr>
            <w:tcW w:w="1698" w:type="dxa"/>
          </w:tcPr>
          <w:p w14:paraId="53EE059C" w14:textId="77777777" w:rsidR="003649A4" w:rsidRPr="00821948" w:rsidRDefault="003649A4" w:rsidP="00E73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69" w:type="dxa"/>
          </w:tcPr>
          <w:p w14:paraId="6D5A1F24" w14:textId="77777777" w:rsidR="003649A4" w:rsidRPr="00821948" w:rsidRDefault="003649A4">
            <w:pPr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14:paraId="2DD4AD16" w14:textId="77777777" w:rsidR="003649A4" w:rsidRPr="00821948" w:rsidRDefault="003649A4"/>
    <w:p w14:paraId="5300E248" w14:textId="77777777" w:rsidR="003649A4" w:rsidRPr="00821948" w:rsidRDefault="003649A4">
      <w:pPr>
        <w:pStyle w:val="Heading1"/>
        <w:numPr>
          <w:ilvl w:val="0"/>
          <w:numId w:val="2"/>
        </w:numPr>
      </w:pPr>
      <w:bookmarkStart w:id="1" w:name="_Toc99774638"/>
      <w:r w:rsidRPr="00821948">
        <w:t>Report</w:t>
      </w:r>
    </w:p>
    <w:p w14:paraId="63F5D452" w14:textId="77777777" w:rsidR="003649A4" w:rsidRPr="00821948" w:rsidRDefault="003649A4">
      <w:pPr>
        <w:rPr>
          <w:rFonts w:ascii="Arial" w:hAnsi="Arial" w:cs="Arial"/>
          <w:b/>
          <w:sz w:val="20"/>
        </w:rPr>
      </w:pPr>
    </w:p>
    <w:p w14:paraId="68DF4AC4" w14:textId="77777777" w:rsidR="003649A4" w:rsidRPr="00821948" w:rsidRDefault="003649A4">
      <w:pPr>
        <w:rPr>
          <w:rFonts w:ascii="Arial" w:hAnsi="Arial" w:cs="Arial"/>
          <w:b/>
          <w:sz w:val="20"/>
        </w:rPr>
      </w:pPr>
    </w:p>
    <w:p w14:paraId="59444081" w14:textId="77777777" w:rsidR="003649A4" w:rsidRPr="00821948" w:rsidRDefault="003649A4" w:rsidP="00A56A2E">
      <w:pPr>
        <w:ind w:left="432"/>
        <w:rPr>
          <w:rFonts w:ascii="Arial" w:hAnsi="Arial" w:cs="Arial"/>
          <w:sz w:val="20"/>
        </w:rPr>
      </w:pPr>
      <w:r w:rsidRPr="00821948">
        <w:rPr>
          <w:rFonts w:ascii="Arial" w:hAnsi="Arial" w:cs="Arial"/>
          <w:b/>
          <w:sz w:val="20"/>
        </w:rPr>
        <w:t>MSRS</w:t>
      </w:r>
      <w:r w:rsidRPr="00821948">
        <w:rPr>
          <w:rFonts w:ascii="Arial" w:hAnsi="Arial" w:cs="Arial"/>
          <w:sz w:val="20"/>
        </w:rPr>
        <w:t xml:space="preserve"> Report Name:  Regulation </w:t>
      </w:r>
      <w:r w:rsidR="004C7E96" w:rsidRPr="00821948">
        <w:rPr>
          <w:rFonts w:ascii="Arial" w:hAnsi="Arial" w:cs="Arial"/>
          <w:sz w:val="20"/>
        </w:rPr>
        <w:t xml:space="preserve">Market </w:t>
      </w:r>
      <w:r w:rsidRPr="00821948">
        <w:rPr>
          <w:rFonts w:ascii="Arial" w:hAnsi="Arial" w:cs="Arial"/>
          <w:sz w:val="20"/>
        </w:rPr>
        <w:t xml:space="preserve">Credits </w:t>
      </w:r>
    </w:p>
    <w:p w14:paraId="2A6B8602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</w:p>
    <w:p w14:paraId="7A00B8D7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Report short name for User Interface: Regulation</w:t>
      </w:r>
      <w:r w:rsidR="004C7E96" w:rsidRPr="00821948">
        <w:rPr>
          <w:rFonts w:ascii="Arial" w:hAnsi="Arial" w:cs="Arial"/>
          <w:sz w:val="20"/>
        </w:rPr>
        <w:t xml:space="preserve"> Market</w:t>
      </w:r>
      <w:r w:rsidRPr="00821948">
        <w:rPr>
          <w:rFonts w:ascii="Arial" w:hAnsi="Arial" w:cs="Arial"/>
          <w:sz w:val="20"/>
        </w:rPr>
        <w:t xml:space="preserve"> Credits  </w:t>
      </w:r>
    </w:p>
    <w:p w14:paraId="08C00034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</w:p>
    <w:p w14:paraId="48D4742D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Download File Name Abbreviation: Reg</w:t>
      </w:r>
      <w:r w:rsidR="004C7E96" w:rsidRPr="00821948">
        <w:rPr>
          <w:rFonts w:ascii="Arial" w:hAnsi="Arial" w:cs="Arial"/>
          <w:sz w:val="20"/>
        </w:rPr>
        <w:t>Mkt</w:t>
      </w:r>
      <w:r w:rsidRPr="00821948">
        <w:rPr>
          <w:rFonts w:ascii="Arial" w:hAnsi="Arial" w:cs="Arial"/>
          <w:sz w:val="20"/>
        </w:rPr>
        <w:t>Cr</w:t>
      </w:r>
    </w:p>
    <w:p w14:paraId="1979BF69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</w:p>
    <w:p w14:paraId="6EB0E98C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 xml:space="preserve">Data Granularity:  </w:t>
      </w:r>
      <w:r w:rsidR="00551DD4" w:rsidRPr="00821948">
        <w:rPr>
          <w:rFonts w:ascii="Arial" w:hAnsi="Arial" w:cs="Arial"/>
          <w:sz w:val="20"/>
        </w:rPr>
        <w:t>Sub-hourly</w:t>
      </w:r>
    </w:p>
    <w:p w14:paraId="13FC87DD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</w:p>
    <w:p w14:paraId="59F4E141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 xml:space="preserve">Frequency:  Updated daily </w:t>
      </w:r>
    </w:p>
    <w:p w14:paraId="22726EC1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</w:p>
    <w:p w14:paraId="1B0FAA6C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Range Displayed on Report:  Start Date through End Date</w:t>
      </w:r>
    </w:p>
    <w:p w14:paraId="4309AF93" w14:textId="77777777" w:rsidR="003649A4" w:rsidRPr="00821948" w:rsidRDefault="003649A4">
      <w:pPr>
        <w:rPr>
          <w:rFonts w:ascii="Arial" w:hAnsi="Arial" w:cs="Arial"/>
        </w:rPr>
      </w:pPr>
    </w:p>
    <w:p w14:paraId="65A17909" w14:textId="77777777" w:rsidR="003649A4" w:rsidRPr="00821948" w:rsidRDefault="003649A4">
      <w:pPr>
        <w:pStyle w:val="Heading1"/>
      </w:pPr>
      <w:r w:rsidRPr="00821948">
        <w:t>Supported Billing Line Items</w:t>
      </w:r>
    </w:p>
    <w:p w14:paraId="7EAD37EA" w14:textId="77777777" w:rsidR="005214ED" w:rsidRPr="00821948" w:rsidRDefault="005214ED" w:rsidP="005214ED">
      <w:pPr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In order to support reconciliation of the transferred Billing Line Item amount, the “To” Company of a Billing Line Item Transfer may view supporting MSRS report details pertaining to the counterparty for the period spanning the approved Billing Line Item Transfer.</w:t>
      </w:r>
    </w:p>
    <w:p w14:paraId="5647108E" w14:textId="77777777" w:rsidR="003649A4" w:rsidRPr="00821948" w:rsidRDefault="003649A4">
      <w:pPr>
        <w:pStyle w:val="BulletList"/>
      </w:pPr>
      <w:r w:rsidRPr="00821948">
        <w:t>Regulation and Frequency Response Service Credit (2340)</w:t>
      </w:r>
    </w:p>
    <w:p w14:paraId="7F52FDDC" w14:textId="77777777" w:rsidR="003649A4" w:rsidRPr="00821948" w:rsidRDefault="003649A4">
      <w:pPr>
        <w:pStyle w:val="Heading1"/>
      </w:pPr>
      <w:r w:rsidRPr="00821948">
        <w:t>Report Content Summary</w:t>
      </w:r>
    </w:p>
    <w:p w14:paraId="2DE1DECE" w14:textId="77777777" w:rsidR="003649A4" w:rsidRPr="00821948" w:rsidRDefault="003649A4">
      <w:pPr>
        <w:ind w:left="432"/>
        <w:rPr>
          <w:rFonts w:ascii="Arial" w:hAnsi="Arial" w:cs="Arial"/>
          <w:sz w:val="20"/>
          <w:szCs w:val="20"/>
        </w:rPr>
      </w:pPr>
    </w:p>
    <w:p w14:paraId="4D2D3E4E" w14:textId="40E20C07" w:rsidR="003649A4" w:rsidRPr="00821948" w:rsidRDefault="003649A4">
      <w:pPr>
        <w:ind w:left="432"/>
        <w:rPr>
          <w:rFonts w:ascii="Arial" w:hAnsi="Arial" w:cs="Arial"/>
          <w:sz w:val="20"/>
          <w:szCs w:val="20"/>
        </w:rPr>
      </w:pPr>
      <w:r w:rsidRPr="00821948">
        <w:rPr>
          <w:rFonts w:ascii="Arial" w:hAnsi="Arial" w:cs="Arial"/>
          <w:sz w:val="20"/>
          <w:szCs w:val="20"/>
        </w:rPr>
        <w:t>This report displays</w:t>
      </w:r>
      <w:r w:rsidR="00FC2C41" w:rsidRPr="00821948">
        <w:rPr>
          <w:rFonts w:ascii="Arial" w:hAnsi="Arial" w:cs="Arial"/>
          <w:sz w:val="20"/>
          <w:szCs w:val="20"/>
        </w:rPr>
        <w:t xml:space="preserve"> the </w:t>
      </w:r>
      <w:r w:rsidRPr="00821948">
        <w:rPr>
          <w:rFonts w:ascii="Arial" w:hAnsi="Arial" w:cs="Arial"/>
          <w:sz w:val="20"/>
          <w:szCs w:val="20"/>
        </w:rPr>
        <w:t xml:space="preserve">customer account’s </w:t>
      </w:r>
      <w:r w:rsidR="00FC2C41" w:rsidRPr="00821948">
        <w:rPr>
          <w:rFonts w:ascii="Arial" w:hAnsi="Arial" w:cs="Arial"/>
          <w:sz w:val="20"/>
          <w:szCs w:val="20"/>
        </w:rPr>
        <w:t>5-minute</w:t>
      </w:r>
      <w:r w:rsidRPr="00821948">
        <w:rPr>
          <w:rFonts w:ascii="Arial" w:hAnsi="Arial" w:cs="Arial"/>
          <w:sz w:val="20"/>
          <w:szCs w:val="20"/>
        </w:rPr>
        <w:t xml:space="preserve"> Regulation Market Clearing Price Credit</w:t>
      </w:r>
      <w:r w:rsidR="00FC2C41" w:rsidRPr="00821948">
        <w:rPr>
          <w:rFonts w:ascii="Arial" w:hAnsi="Arial" w:cs="Arial"/>
          <w:sz w:val="20"/>
          <w:szCs w:val="20"/>
        </w:rPr>
        <w:t>s for generation units and load response registrations</w:t>
      </w:r>
      <w:r w:rsidR="00657760" w:rsidRPr="00821948">
        <w:rPr>
          <w:rFonts w:ascii="Arial" w:hAnsi="Arial" w:cs="Arial"/>
          <w:sz w:val="20"/>
          <w:szCs w:val="20"/>
        </w:rPr>
        <w:t>.</w:t>
      </w:r>
      <w:r w:rsidR="00FC2C41" w:rsidRPr="00821948">
        <w:rPr>
          <w:rFonts w:ascii="Arial" w:hAnsi="Arial" w:cs="Arial"/>
          <w:sz w:val="20"/>
          <w:szCs w:val="20"/>
        </w:rPr>
        <w:t xml:space="preserve"> </w:t>
      </w:r>
      <w:r w:rsidRPr="00821948">
        <w:rPr>
          <w:rFonts w:ascii="Arial" w:hAnsi="Arial" w:cs="Arial"/>
          <w:sz w:val="20"/>
          <w:szCs w:val="20"/>
        </w:rPr>
        <w:t xml:space="preserve">The credits in this report do not reflect the customer account’s share of jointly owned </w:t>
      </w:r>
      <w:r w:rsidR="00A71889" w:rsidRPr="00821948">
        <w:rPr>
          <w:rFonts w:ascii="Arial" w:hAnsi="Arial" w:cs="Arial"/>
          <w:sz w:val="20"/>
          <w:szCs w:val="20"/>
        </w:rPr>
        <w:t>resources</w:t>
      </w:r>
      <w:r w:rsidRPr="00821948">
        <w:rPr>
          <w:rFonts w:ascii="Arial" w:hAnsi="Arial" w:cs="Arial"/>
          <w:sz w:val="20"/>
          <w:szCs w:val="20"/>
        </w:rPr>
        <w:t xml:space="preserve">. All owners will see the full credit assigned to the </w:t>
      </w:r>
      <w:r w:rsidR="00A71889" w:rsidRPr="00821948">
        <w:rPr>
          <w:rFonts w:ascii="Arial" w:hAnsi="Arial" w:cs="Arial"/>
          <w:sz w:val="20"/>
          <w:szCs w:val="20"/>
        </w:rPr>
        <w:t>resource</w:t>
      </w:r>
      <w:r w:rsidRPr="00821948">
        <w:rPr>
          <w:rFonts w:ascii="Arial" w:hAnsi="Arial" w:cs="Arial"/>
          <w:sz w:val="20"/>
          <w:szCs w:val="20"/>
        </w:rPr>
        <w:t>.</w:t>
      </w:r>
    </w:p>
    <w:p w14:paraId="5BBC1C63" w14:textId="77777777" w:rsidR="003649A4" w:rsidRPr="00821948" w:rsidRDefault="003649A4">
      <w:pPr>
        <w:ind w:left="432"/>
        <w:rPr>
          <w:rFonts w:ascii="Arial" w:hAnsi="Arial" w:cs="Arial"/>
          <w:sz w:val="20"/>
          <w:szCs w:val="20"/>
        </w:rPr>
      </w:pPr>
    </w:p>
    <w:p w14:paraId="5A99EAF0" w14:textId="77777777" w:rsidR="003649A4" w:rsidRPr="00821948" w:rsidRDefault="003649A4">
      <w:pPr>
        <w:ind w:left="432"/>
        <w:rPr>
          <w:rFonts w:ascii="Arial" w:hAnsi="Arial" w:cs="Arial"/>
          <w:sz w:val="20"/>
          <w:szCs w:val="20"/>
        </w:rPr>
      </w:pPr>
    </w:p>
    <w:p w14:paraId="5DD6E562" w14:textId="77777777" w:rsidR="003649A4" w:rsidRPr="00821948" w:rsidRDefault="003649A4">
      <w:pPr>
        <w:rPr>
          <w:sz w:val="20"/>
          <w:szCs w:val="20"/>
        </w:rPr>
      </w:pPr>
    </w:p>
    <w:p w14:paraId="182AC588" w14:textId="77777777" w:rsidR="003649A4" w:rsidRPr="00821948" w:rsidRDefault="003649A4">
      <w:pPr>
        <w:pStyle w:val="Heading1"/>
      </w:pPr>
      <w:r w:rsidRPr="00821948">
        <w:t>Summary of Changes and Special Logic</w:t>
      </w:r>
    </w:p>
    <w:p w14:paraId="3BE8BF95" w14:textId="77777777" w:rsidR="003649A4" w:rsidRPr="00821948" w:rsidRDefault="003649A4">
      <w:pPr>
        <w:pStyle w:val="Heading1"/>
      </w:pPr>
      <w:r w:rsidRPr="00821948">
        <w:t>Report Columns</w:t>
      </w:r>
    </w:p>
    <w:p w14:paraId="6B0A946A" w14:textId="77777777" w:rsidR="003649A4" w:rsidRPr="00821948" w:rsidRDefault="003649A4"/>
    <w:p w14:paraId="0FEC85D2" w14:textId="77777777" w:rsidR="003649A4" w:rsidRPr="00821948" w:rsidRDefault="003649A4">
      <w:pPr>
        <w:ind w:left="432"/>
        <w:rPr>
          <w:rFonts w:ascii="Arial" w:hAnsi="Arial"/>
          <w:sz w:val="20"/>
          <w:szCs w:val="20"/>
        </w:rPr>
      </w:pPr>
      <w:r w:rsidRPr="00821948">
        <w:rPr>
          <w:rFonts w:ascii="Arial" w:hAnsi="Arial"/>
          <w:sz w:val="20"/>
          <w:szCs w:val="20"/>
        </w:rPr>
        <w:t>The following columns will appear in the body of the report:</w:t>
      </w:r>
    </w:p>
    <w:p w14:paraId="7FD67E8F" w14:textId="77777777" w:rsidR="003649A4" w:rsidRPr="00821948" w:rsidRDefault="003649A4"/>
    <w:tbl>
      <w:tblPr>
        <w:tblW w:w="123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4662"/>
        <w:gridCol w:w="1505"/>
        <w:gridCol w:w="3077"/>
      </w:tblGrid>
      <w:tr w:rsidR="00821948" w:rsidRPr="00821948" w14:paraId="1BF44C9F" w14:textId="77777777" w:rsidTr="002410B0">
        <w:tc>
          <w:tcPr>
            <w:tcW w:w="3104" w:type="dxa"/>
          </w:tcPr>
          <w:p w14:paraId="62C239C5" w14:textId="77777777" w:rsidR="007335BA" w:rsidRPr="00821948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662" w:type="dxa"/>
          </w:tcPr>
          <w:p w14:paraId="502F244A" w14:textId="77777777" w:rsidR="007335BA" w:rsidRPr="00821948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505" w:type="dxa"/>
          </w:tcPr>
          <w:p w14:paraId="3B901009" w14:textId="77777777" w:rsidR="007335BA" w:rsidRPr="00821948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3077" w:type="dxa"/>
          </w:tcPr>
          <w:p w14:paraId="20C40B5A" w14:textId="77777777" w:rsidR="007335BA" w:rsidRPr="00821948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821948" w:rsidRPr="00821948" w14:paraId="71F4A6F8" w14:textId="77777777" w:rsidTr="002410B0">
        <w:tc>
          <w:tcPr>
            <w:tcW w:w="3104" w:type="dxa"/>
          </w:tcPr>
          <w:p w14:paraId="062C29D6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Customer ID</w:t>
            </w:r>
          </w:p>
        </w:tc>
        <w:tc>
          <w:tcPr>
            <w:tcW w:w="4662" w:type="dxa"/>
          </w:tcPr>
          <w:p w14:paraId="674DA173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505" w:type="dxa"/>
          </w:tcPr>
          <w:p w14:paraId="2837A726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3077" w:type="dxa"/>
          </w:tcPr>
          <w:p w14:paraId="7A1425A2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821948" w:rsidRPr="00821948" w14:paraId="4A7232DE" w14:textId="77777777" w:rsidTr="002410B0">
        <w:tc>
          <w:tcPr>
            <w:tcW w:w="3104" w:type="dxa"/>
          </w:tcPr>
          <w:p w14:paraId="51B66051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Customer Code</w:t>
            </w:r>
          </w:p>
        </w:tc>
        <w:tc>
          <w:tcPr>
            <w:tcW w:w="4662" w:type="dxa"/>
          </w:tcPr>
          <w:p w14:paraId="5C99F6BD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505" w:type="dxa"/>
          </w:tcPr>
          <w:p w14:paraId="199B9F68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3077" w:type="dxa"/>
          </w:tcPr>
          <w:p w14:paraId="023F1E18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821948" w:rsidRPr="00821948" w14:paraId="43FB0A2B" w14:textId="77777777" w:rsidTr="002410B0">
        <w:tc>
          <w:tcPr>
            <w:tcW w:w="3104" w:type="dxa"/>
          </w:tcPr>
          <w:p w14:paraId="1A1658AD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EPT Interval Ending</w:t>
            </w:r>
          </w:p>
        </w:tc>
        <w:tc>
          <w:tcPr>
            <w:tcW w:w="4662" w:type="dxa"/>
          </w:tcPr>
          <w:p w14:paraId="6654B026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EPT_INTERVAL_ENDING</w:t>
            </w:r>
          </w:p>
        </w:tc>
        <w:tc>
          <w:tcPr>
            <w:tcW w:w="1505" w:type="dxa"/>
          </w:tcPr>
          <w:p w14:paraId="59F690B3" w14:textId="757A1323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</w:t>
            </w:r>
            <w:r w:rsidR="00821948" w:rsidRPr="00821948">
              <w:rPr>
                <w:rFonts w:ascii="Arial" w:hAnsi="Arial" w:cs="Arial"/>
                <w:sz w:val="20"/>
                <w:szCs w:val="20"/>
              </w:rPr>
              <w:t>1</w:t>
            </w:r>
            <w:r w:rsidRPr="0082194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3077" w:type="dxa"/>
          </w:tcPr>
          <w:p w14:paraId="6319F645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7609ADB3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mm/dd/yyyy HH24:MM format</w:t>
            </w:r>
          </w:p>
          <w:p w14:paraId="6C5996CC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(Displays first interval of the day as hour 0 minute 05 and last interval of the day as hour 24 minute 00)</w:t>
            </w:r>
          </w:p>
        </w:tc>
      </w:tr>
      <w:tr w:rsidR="00821948" w:rsidRPr="00821948" w14:paraId="52ECE0A1" w14:textId="77777777" w:rsidTr="002410B0">
        <w:tc>
          <w:tcPr>
            <w:tcW w:w="3104" w:type="dxa"/>
          </w:tcPr>
          <w:p w14:paraId="10C1E96B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GMT Interval Ending</w:t>
            </w:r>
          </w:p>
        </w:tc>
        <w:tc>
          <w:tcPr>
            <w:tcW w:w="4662" w:type="dxa"/>
          </w:tcPr>
          <w:p w14:paraId="7A246085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GMT_INTERVAL_ENDING</w:t>
            </w:r>
          </w:p>
        </w:tc>
        <w:tc>
          <w:tcPr>
            <w:tcW w:w="1505" w:type="dxa"/>
          </w:tcPr>
          <w:p w14:paraId="6097C66D" w14:textId="4FE33681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</w:t>
            </w:r>
            <w:r w:rsidR="00821948" w:rsidRPr="00821948">
              <w:rPr>
                <w:rFonts w:ascii="Arial" w:hAnsi="Arial" w:cs="Arial"/>
                <w:sz w:val="20"/>
                <w:szCs w:val="20"/>
              </w:rPr>
              <w:t>1</w:t>
            </w:r>
            <w:r w:rsidRPr="00821948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3077" w:type="dxa"/>
          </w:tcPr>
          <w:p w14:paraId="39A42408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690717FA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mm/dd/yyyy HH24:MM format</w:t>
            </w:r>
          </w:p>
          <w:p w14:paraId="502FC030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(Displays first interval of the day in relation to EPT interval as hour 04 minute 05 or hour 05 minute 05 (EDT/EST depending) and last interval of the day as hour 04 minute 00 of the next day or hour 05 minute 00 of the next day (EDT/EST depending))</w:t>
            </w:r>
          </w:p>
        </w:tc>
      </w:tr>
      <w:tr w:rsidR="00821948" w:rsidRPr="00821948" w14:paraId="52F6C612" w14:textId="77777777" w:rsidTr="002410B0">
        <w:tc>
          <w:tcPr>
            <w:tcW w:w="3104" w:type="dxa"/>
          </w:tcPr>
          <w:p w14:paraId="64726F9B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Market Resource ID</w:t>
            </w:r>
          </w:p>
        </w:tc>
        <w:tc>
          <w:tcPr>
            <w:tcW w:w="4662" w:type="dxa"/>
          </w:tcPr>
          <w:p w14:paraId="15307576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MRKT_RESRC_ID</w:t>
            </w:r>
          </w:p>
        </w:tc>
        <w:tc>
          <w:tcPr>
            <w:tcW w:w="1505" w:type="dxa"/>
          </w:tcPr>
          <w:p w14:paraId="7F16F5C6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4001.16</w:t>
            </w:r>
          </w:p>
        </w:tc>
        <w:tc>
          <w:tcPr>
            <w:tcW w:w="3077" w:type="dxa"/>
          </w:tcPr>
          <w:p w14:paraId="2EDF98D4" w14:textId="7931C505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2410B0" w:rsidRPr="00821948">
              <w:rPr>
                <w:rFonts w:ascii="Arial" w:hAnsi="Arial" w:cs="Arial"/>
                <w:sz w:val="20"/>
                <w:szCs w:val="20"/>
              </w:rPr>
              <w:t>(15</w:t>
            </w:r>
            <w:r w:rsidR="004B0605" w:rsidRPr="00821948">
              <w:rPr>
                <w:rFonts w:ascii="Arial" w:hAnsi="Arial" w:cs="Arial"/>
                <w:sz w:val="20"/>
                <w:szCs w:val="20"/>
              </w:rPr>
              <w:t>,</w:t>
            </w:r>
            <w:r w:rsidR="002410B0" w:rsidRPr="00821948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821948" w:rsidRPr="00821948" w14:paraId="3C0926B5" w14:textId="77777777" w:rsidTr="002410B0">
        <w:tc>
          <w:tcPr>
            <w:tcW w:w="3104" w:type="dxa"/>
          </w:tcPr>
          <w:p w14:paraId="60197E33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Market Resource Name</w:t>
            </w:r>
          </w:p>
        </w:tc>
        <w:tc>
          <w:tcPr>
            <w:tcW w:w="4662" w:type="dxa"/>
          </w:tcPr>
          <w:p w14:paraId="4D0B4650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MRKT_RESRC_NAME</w:t>
            </w:r>
          </w:p>
        </w:tc>
        <w:tc>
          <w:tcPr>
            <w:tcW w:w="1505" w:type="dxa"/>
          </w:tcPr>
          <w:p w14:paraId="44955875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4001.17</w:t>
            </w:r>
          </w:p>
        </w:tc>
        <w:tc>
          <w:tcPr>
            <w:tcW w:w="3077" w:type="dxa"/>
          </w:tcPr>
          <w:p w14:paraId="306F61D6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VARCHAR2(75)</w:t>
            </w:r>
          </w:p>
        </w:tc>
      </w:tr>
      <w:tr w:rsidR="00821948" w:rsidRPr="00821948" w14:paraId="46134AF0" w14:textId="77777777" w:rsidTr="002410B0">
        <w:tc>
          <w:tcPr>
            <w:tcW w:w="3104" w:type="dxa"/>
          </w:tcPr>
          <w:p w14:paraId="461ED109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Market Resource Type</w:t>
            </w:r>
          </w:p>
        </w:tc>
        <w:tc>
          <w:tcPr>
            <w:tcW w:w="4662" w:type="dxa"/>
          </w:tcPr>
          <w:p w14:paraId="27461399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MRKT_RESRC_TYPE</w:t>
            </w:r>
          </w:p>
        </w:tc>
        <w:tc>
          <w:tcPr>
            <w:tcW w:w="1505" w:type="dxa"/>
          </w:tcPr>
          <w:p w14:paraId="466A9971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4001.18</w:t>
            </w:r>
          </w:p>
        </w:tc>
        <w:tc>
          <w:tcPr>
            <w:tcW w:w="3077" w:type="dxa"/>
          </w:tcPr>
          <w:p w14:paraId="028D5B1F" w14:textId="2D9AFA43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VARCHAR</w:t>
            </w:r>
            <w:r w:rsidR="00657760" w:rsidRPr="00821948">
              <w:rPr>
                <w:rFonts w:ascii="Arial" w:hAnsi="Arial" w:cs="Arial"/>
                <w:sz w:val="20"/>
                <w:szCs w:val="20"/>
              </w:rPr>
              <w:t>2</w:t>
            </w:r>
            <w:r w:rsidRPr="00821948">
              <w:rPr>
                <w:rFonts w:ascii="Arial" w:hAnsi="Arial" w:cs="Arial"/>
                <w:sz w:val="20"/>
                <w:szCs w:val="20"/>
              </w:rPr>
              <w:t>(10)</w:t>
            </w:r>
          </w:p>
          <w:p w14:paraId="03ED6A4A" w14:textId="77777777" w:rsidR="009A18F6" w:rsidRPr="00821948" w:rsidRDefault="009A18F6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See possible values below</w:t>
            </w:r>
          </w:p>
        </w:tc>
      </w:tr>
      <w:tr w:rsidR="00821948" w:rsidRPr="00821948" w14:paraId="5B563621" w14:textId="77777777" w:rsidTr="002410B0">
        <w:tc>
          <w:tcPr>
            <w:tcW w:w="3104" w:type="dxa"/>
          </w:tcPr>
          <w:p w14:paraId="6D2EB08B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Resource Ownership Share</w:t>
            </w:r>
          </w:p>
        </w:tc>
        <w:tc>
          <w:tcPr>
            <w:tcW w:w="4662" w:type="dxa"/>
          </w:tcPr>
          <w:p w14:paraId="3337AD79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RESRC_OWN_SHARE</w:t>
            </w:r>
          </w:p>
        </w:tc>
        <w:tc>
          <w:tcPr>
            <w:tcW w:w="1505" w:type="dxa"/>
          </w:tcPr>
          <w:p w14:paraId="7A06C0DD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4001.19</w:t>
            </w:r>
          </w:p>
        </w:tc>
        <w:tc>
          <w:tcPr>
            <w:tcW w:w="3077" w:type="dxa"/>
          </w:tcPr>
          <w:p w14:paraId="7021CA2E" w14:textId="5DB0835D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16AE3568" w14:textId="77777777" w:rsidTr="002410B0">
        <w:tc>
          <w:tcPr>
            <w:tcW w:w="3104" w:type="dxa"/>
          </w:tcPr>
          <w:p w14:paraId="15676DBA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Regulation Product Type</w:t>
            </w:r>
          </w:p>
        </w:tc>
        <w:tc>
          <w:tcPr>
            <w:tcW w:w="4662" w:type="dxa"/>
          </w:tcPr>
          <w:p w14:paraId="3BE934F7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REG_PRODUCT_TYPE</w:t>
            </w:r>
          </w:p>
        </w:tc>
        <w:tc>
          <w:tcPr>
            <w:tcW w:w="1505" w:type="dxa"/>
          </w:tcPr>
          <w:p w14:paraId="7CA1AAA3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4001.38</w:t>
            </w:r>
          </w:p>
        </w:tc>
        <w:tc>
          <w:tcPr>
            <w:tcW w:w="3077" w:type="dxa"/>
          </w:tcPr>
          <w:p w14:paraId="611C3748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VARCHAR(30)</w:t>
            </w:r>
          </w:p>
          <w:p w14:paraId="1281BFF8" w14:textId="77777777" w:rsidR="009A18F6" w:rsidRPr="00821948" w:rsidRDefault="009A18F6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See possible values below</w:t>
            </w:r>
          </w:p>
        </w:tc>
      </w:tr>
      <w:tr w:rsidR="00821948" w:rsidRPr="00821948" w14:paraId="25D0031C" w14:textId="77777777" w:rsidTr="002410B0">
        <w:tc>
          <w:tcPr>
            <w:tcW w:w="3104" w:type="dxa"/>
          </w:tcPr>
          <w:p w14:paraId="3443A5FB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PJM-Assigned Reg MW</w:t>
            </w:r>
          </w:p>
        </w:tc>
        <w:tc>
          <w:tcPr>
            <w:tcW w:w="4662" w:type="dxa"/>
          </w:tcPr>
          <w:p w14:paraId="224367CD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PJM_ASSIGNED_REG_MW</w:t>
            </w:r>
          </w:p>
        </w:tc>
        <w:tc>
          <w:tcPr>
            <w:tcW w:w="1505" w:type="dxa"/>
          </w:tcPr>
          <w:p w14:paraId="0EF1E03E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2340.63</w:t>
            </w:r>
          </w:p>
        </w:tc>
        <w:tc>
          <w:tcPr>
            <w:tcW w:w="3077" w:type="dxa"/>
          </w:tcPr>
          <w:p w14:paraId="703469E9" w14:textId="4B53F7B4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821948" w:rsidRPr="00821948" w14:paraId="7BD7460A" w14:textId="77777777" w:rsidTr="002410B0">
        <w:tc>
          <w:tcPr>
            <w:tcW w:w="3104" w:type="dxa"/>
          </w:tcPr>
          <w:p w14:paraId="38141F91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Self-Scheduled Reg MW</w:t>
            </w:r>
          </w:p>
        </w:tc>
        <w:tc>
          <w:tcPr>
            <w:tcW w:w="4662" w:type="dxa"/>
          </w:tcPr>
          <w:p w14:paraId="770BC1B5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SELF_SCHEDULED_REG_MW</w:t>
            </w:r>
          </w:p>
        </w:tc>
        <w:tc>
          <w:tcPr>
            <w:tcW w:w="1505" w:type="dxa"/>
          </w:tcPr>
          <w:p w14:paraId="19133A43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2340.64</w:t>
            </w:r>
          </w:p>
        </w:tc>
        <w:tc>
          <w:tcPr>
            <w:tcW w:w="3077" w:type="dxa"/>
          </w:tcPr>
          <w:p w14:paraId="11AED969" w14:textId="4EC38BC4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821948" w:rsidRPr="00821948" w14:paraId="000087A2" w14:textId="77777777" w:rsidTr="002410B0">
        <w:tc>
          <w:tcPr>
            <w:tcW w:w="3104" w:type="dxa"/>
          </w:tcPr>
          <w:p w14:paraId="0CA6F6FB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Actual Mileage</w:t>
            </w:r>
          </w:p>
        </w:tc>
        <w:tc>
          <w:tcPr>
            <w:tcW w:w="4662" w:type="dxa"/>
          </w:tcPr>
          <w:p w14:paraId="7C5DACB5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ACTUAL_MILEAGE</w:t>
            </w:r>
          </w:p>
        </w:tc>
        <w:tc>
          <w:tcPr>
            <w:tcW w:w="1505" w:type="dxa"/>
          </w:tcPr>
          <w:p w14:paraId="30B79E6E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2340.57</w:t>
            </w:r>
          </w:p>
        </w:tc>
        <w:tc>
          <w:tcPr>
            <w:tcW w:w="3077" w:type="dxa"/>
          </w:tcPr>
          <w:p w14:paraId="0F45B369" w14:textId="68E6E841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2941F9DA" w14:textId="77777777" w:rsidTr="002410B0">
        <w:tc>
          <w:tcPr>
            <w:tcW w:w="3104" w:type="dxa"/>
          </w:tcPr>
          <w:p w14:paraId="2F600614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lastRenderedPageBreak/>
              <w:t>Historic Mileage</w:t>
            </w:r>
          </w:p>
        </w:tc>
        <w:tc>
          <w:tcPr>
            <w:tcW w:w="4662" w:type="dxa"/>
          </w:tcPr>
          <w:p w14:paraId="11D5F7E6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HISTORICAL_MILEAGE</w:t>
            </w:r>
          </w:p>
        </w:tc>
        <w:tc>
          <w:tcPr>
            <w:tcW w:w="1505" w:type="dxa"/>
          </w:tcPr>
          <w:p w14:paraId="5893F085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2340.58</w:t>
            </w:r>
          </w:p>
        </w:tc>
        <w:tc>
          <w:tcPr>
            <w:tcW w:w="3077" w:type="dxa"/>
          </w:tcPr>
          <w:p w14:paraId="3E7F0079" w14:textId="57038B91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1AA11560" w14:textId="77777777" w:rsidTr="002410B0">
        <w:tc>
          <w:tcPr>
            <w:tcW w:w="3104" w:type="dxa"/>
          </w:tcPr>
          <w:p w14:paraId="631AD624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Mileage Ratio</w:t>
            </w:r>
          </w:p>
        </w:tc>
        <w:tc>
          <w:tcPr>
            <w:tcW w:w="4662" w:type="dxa"/>
          </w:tcPr>
          <w:p w14:paraId="17961AE4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MILEAGE_RATIO</w:t>
            </w:r>
          </w:p>
        </w:tc>
        <w:tc>
          <w:tcPr>
            <w:tcW w:w="1505" w:type="dxa"/>
          </w:tcPr>
          <w:p w14:paraId="7492614F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2340.46</w:t>
            </w:r>
          </w:p>
        </w:tc>
        <w:tc>
          <w:tcPr>
            <w:tcW w:w="3077" w:type="dxa"/>
          </w:tcPr>
          <w:p w14:paraId="2EAC14A7" w14:textId="05798FCB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0D0B2E00" w14:textId="77777777" w:rsidTr="002410B0">
        <w:tc>
          <w:tcPr>
            <w:tcW w:w="3104" w:type="dxa"/>
          </w:tcPr>
          <w:p w14:paraId="30BDBB06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Performance Score</w:t>
            </w:r>
          </w:p>
        </w:tc>
        <w:tc>
          <w:tcPr>
            <w:tcW w:w="4662" w:type="dxa"/>
          </w:tcPr>
          <w:p w14:paraId="79BCA307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PERF_SCORE</w:t>
            </w:r>
          </w:p>
        </w:tc>
        <w:tc>
          <w:tcPr>
            <w:tcW w:w="1505" w:type="dxa"/>
          </w:tcPr>
          <w:p w14:paraId="54C7392E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2340.35</w:t>
            </w:r>
          </w:p>
        </w:tc>
        <w:tc>
          <w:tcPr>
            <w:tcW w:w="3077" w:type="dxa"/>
          </w:tcPr>
          <w:p w14:paraId="79E97A71" w14:textId="0791771F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7032DA12" w14:textId="77777777" w:rsidTr="002410B0">
        <w:tc>
          <w:tcPr>
            <w:tcW w:w="3104" w:type="dxa"/>
          </w:tcPr>
          <w:p w14:paraId="00F06DAD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RMCCP ($/MWh)</w:t>
            </w:r>
          </w:p>
        </w:tc>
        <w:tc>
          <w:tcPr>
            <w:tcW w:w="4662" w:type="dxa"/>
          </w:tcPr>
          <w:p w14:paraId="22AC37C1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RMCCP</w:t>
            </w:r>
          </w:p>
        </w:tc>
        <w:tc>
          <w:tcPr>
            <w:tcW w:w="1505" w:type="dxa"/>
          </w:tcPr>
          <w:p w14:paraId="43E3998B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3001.44</w:t>
            </w:r>
          </w:p>
        </w:tc>
        <w:tc>
          <w:tcPr>
            <w:tcW w:w="3077" w:type="dxa"/>
          </w:tcPr>
          <w:p w14:paraId="0D8631D8" w14:textId="5FEA57FC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33FF6654" w14:textId="77777777" w:rsidTr="002410B0">
        <w:tc>
          <w:tcPr>
            <w:tcW w:w="3104" w:type="dxa"/>
          </w:tcPr>
          <w:p w14:paraId="69E4E3FD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RMMCP ($/MWh)</w:t>
            </w:r>
          </w:p>
        </w:tc>
        <w:tc>
          <w:tcPr>
            <w:tcW w:w="4662" w:type="dxa"/>
          </w:tcPr>
          <w:p w14:paraId="0D0B6011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RMMCP</w:t>
            </w:r>
          </w:p>
        </w:tc>
        <w:tc>
          <w:tcPr>
            <w:tcW w:w="1505" w:type="dxa"/>
          </w:tcPr>
          <w:p w14:paraId="08712905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3001.64</w:t>
            </w:r>
          </w:p>
        </w:tc>
        <w:tc>
          <w:tcPr>
            <w:tcW w:w="3077" w:type="dxa"/>
          </w:tcPr>
          <w:p w14:paraId="783F6B2C" w14:textId="51DEEF41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3A656D3B" w14:textId="77777777" w:rsidTr="002410B0">
        <w:tc>
          <w:tcPr>
            <w:tcW w:w="3104" w:type="dxa"/>
          </w:tcPr>
          <w:p w14:paraId="68057B5B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RMCCP Credit ($)</w:t>
            </w:r>
          </w:p>
        </w:tc>
        <w:tc>
          <w:tcPr>
            <w:tcW w:w="4662" w:type="dxa"/>
          </w:tcPr>
          <w:p w14:paraId="355A3FE8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RMCCP_CREDIT</w:t>
            </w:r>
          </w:p>
        </w:tc>
        <w:tc>
          <w:tcPr>
            <w:tcW w:w="1505" w:type="dxa"/>
          </w:tcPr>
          <w:p w14:paraId="625265B2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2340.36</w:t>
            </w:r>
          </w:p>
        </w:tc>
        <w:tc>
          <w:tcPr>
            <w:tcW w:w="3077" w:type="dxa"/>
          </w:tcPr>
          <w:p w14:paraId="0E144345" w14:textId="61F99AD8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16A41C19" w14:textId="77777777" w:rsidTr="002410B0">
        <w:tc>
          <w:tcPr>
            <w:tcW w:w="3104" w:type="dxa"/>
          </w:tcPr>
          <w:p w14:paraId="601C4EFE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RMMCP Credit ($)</w:t>
            </w:r>
          </w:p>
        </w:tc>
        <w:tc>
          <w:tcPr>
            <w:tcW w:w="4662" w:type="dxa"/>
          </w:tcPr>
          <w:p w14:paraId="390F48F4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RMMCP_CREDIT</w:t>
            </w:r>
          </w:p>
        </w:tc>
        <w:tc>
          <w:tcPr>
            <w:tcW w:w="1505" w:type="dxa"/>
          </w:tcPr>
          <w:p w14:paraId="1A6E9AF3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2340.48</w:t>
            </w:r>
          </w:p>
        </w:tc>
        <w:tc>
          <w:tcPr>
            <w:tcW w:w="3077" w:type="dxa"/>
          </w:tcPr>
          <w:p w14:paraId="203B1BBE" w14:textId="62164D3B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948" w:rsidRPr="00821948" w14:paraId="36A17ACF" w14:textId="77777777" w:rsidTr="002410B0">
        <w:tc>
          <w:tcPr>
            <w:tcW w:w="3104" w:type="dxa"/>
          </w:tcPr>
          <w:p w14:paraId="30D696EB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Total Regulation Clearing Price Credits ($)</w:t>
            </w:r>
          </w:p>
        </w:tc>
        <w:tc>
          <w:tcPr>
            <w:tcW w:w="4662" w:type="dxa"/>
          </w:tcPr>
          <w:p w14:paraId="336872D0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TOT_RMCP_CREDIT</w:t>
            </w:r>
          </w:p>
        </w:tc>
        <w:tc>
          <w:tcPr>
            <w:tcW w:w="1505" w:type="dxa"/>
          </w:tcPr>
          <w:p w14:paraId="49096D4E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2340.49</w:t>
            </w:r>
          </w:p>
        </w:tc>
        <w:tc>
          <w:tcPr>
            <w:tcW w:w="3077" w:type="dxa"/>
          </w:tcPr>
          <w:p w14:paraId="09B317B7" w14:textId="2545DA64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NUMBER</w:t>
            </w:r>
            <w:r w:rsidR="00562A90" w:rsidRPr="0082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35BA" w:rsidRPr="00821948" w14:paraId="2C2699E6" w14:textId="77777777" w:rsidTr="002410B0">
        <w:tc>
          <w:tcPr>
            <w:tcW w:w="3104" w:type="dxa"/>
          </w:tcPr>
          <w:p w14:paraId="6BF11AEF" w14:textId="77777777" w:rsidR="007335BA" w:rsidRPr="00821948" w:rsidRDefault="007335BA" w:rsidP="007335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1948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</w:p>
        </w:tc>
        <w:tc>
          <w:tcPr>
            <w:tcW w:w="4662" w:type="dxa"/>
          </w:tcPr>
          <w:p w14:paraId="1BA32475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505" w:type="dxa"/>
          </w:tcPr>
          <w:p w14:paraId="5CBA6A0E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3077" w:type="dxa"/>
          </w:tcPr>
          <w:p w14:paraId="768374D9" w14:textId="77777777" w:rsidR="007335BA" w:rsidRPr="00821948" w:rsidRDefault="007335BA" w:rsidP="007335BA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1948"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14:paraId="5FEAEA23" w14:textId="77777777" w:rsidR="00A71889" w:rsidRPr="00821948" w:rsidRDefault="00A71889" w:rsidP="00A71889">
      <w:pPr>
        <w:ind w:left="540"/>
        <w:rPr>
          <w:rFonts w:ascii="Arial" w:hAnsi="Arial" w:cs="Arial"/>
          <w:sz w:val="20"/>
          <w:szCs w:val="20"/>
        </w:rPr>
      </w:pPr>
    </w:p>
    <w:p w14:paraId="52253BE5" w14:textId="77777777" w:rsidR="003B2183" w:rsidRPr="00821948" w:rsidRDefault="003B2183" w:rsidP="00A71889">
      <w:pPr>
        <w:ind w:left="540"/>
        <w:rPr>
          <w:rFonts w:ascii="Arial" w:hAnsi="Arial" w:cs="Arial"/>
          <w:sz w:val="20"/>
          <w:szCs w:val="20"/>
        </w:rPr>
      </w:pPr>
    </w:p>
    <w:p w14:paraId="7977B1B4" w14:textId="77777777" w:rsidR="003B2183" w:rsidRPr="00821948" w:rsidRDefault="003B2183" w:rsidP="003B2183">
      <w:pPr>
        <w:tabs>
          <w:tab w:val="left" w:pos="5850"/>
        </w:tabs>
        <w:ind w:left="630"/>
        <w:rPr>
          <w:rFonts w:ascii="Arial" w:hAnsi="Arial" w:cs="Arial"/>
          <w:sz w:val="20"/>
          <w:szCs w:val="20"/>
        </w:rPr>
      </w:pPr>
      <w:r w:rsidRPr="00821948">
        <w:rPr>
          <w:rFonts w:ascii="Arial" w:hAnsi="Arial" w:cs="Arial"/>
          <w:sz w:val="20"/>
          <w:szCs w:val="20"/>
        </w:rPr>
        <w:t>Market Resource Types: GEN or LOADRESP</w:t>
      </w:r>
    </w:p>
    <w:p w14:paraId="7FE94DB5" w14:textId="77777777" w:rsidR="003B2183" w:rsidRPr="00821948" w:rsidRDefault="003B2183" w:rsidP="003B2183">
      <w:pPr>
        <w:tabs>
          <w:tab w:val="left" w:pos="5850"/>
        </w:tabs>
        <w:ind w:left="630"/>
        <w:rPr>
          <w:rFonts w:ascii="Arial" w:hAnsi="Arial" w:cs="Arial"/>
          <w:sz w:val="20"/>
          <w:szCs w:val="20"/>
        </w:rPr>
      </w:pPr>
    </w:p>
    <w:p w14:paraId="34571AC1" w14:textId="77777777" w:rsidR="003B2183" w:rsidRPr="00821948" w:rsidRDefault="003B2183" w:rsidP="00C9417C">
      <w:pPr>
        <w:tabs>
          <w:tab w:val="left" w:pos="5850"/>
        </w:tabs>
        <w:ind w:left="630"/>
        <w:rPr>
          <w:rFonts w:ascii="Arial" w:hAnsi="Arial" w:cs="Arial"/>
          <w:sz w:val="20"/>
          <w:szCs w:val="20"/>
        </w:rPr>
      </w:pPr>
      <w:r w:rsidRPr="00821948">
        <w:rPr>
          <w:rFonts w:ascii="Arial" w:hAnsi="Arial" w:cs="Arial"/>
          <w:bCs/>
          <w:sz w:val="20"/>
          <w:szCs w:val="20"/>
        </w:rPr>
        <w:t xml:space="preserve">Regulation Product Type: </w:t>
      </w:r>
      <w:r w:rsidR="009A18F6" w:rsidRPr="00821948">
        <w:rPr>
          <w:rFonts w:ascii="Arial" w:hAnsi="Arial" w:cs="Arial"/>
          <w:bCs/>
          <w:sz w:val="20"/>
          <w:szCs w:val="20"/>
        </w:rPr>
        <w:t>R</w:t>
      </w:r>
      <w:r w:rsidR="00C9417C" w:rsidRPr="00821948">
        <w:rPr>
          <w:rFonts w:ascii="Arial" w:hAnsi="Arial" w:cs="Arial"/>
          <w:bCs/>
          <w:sz w:val="20"/>
          <w:szCs w:val="20"/>
        </w:rPr>
        <w:t>egulation</w:t>
      </w:r>
    </w:p>
    <w:bookmarkEnd w:id="1"/>
    <w:p w14:paraId="0CAA3DA6" w14:textId="77777777" w:rsidR="003649A4" w:rsidRPr="00821948" w:rsidRDefault="003649A4">
      <w:pPr>
        <w:pStyle w:val="Heading1"/>
      </w:pPr>
      <w:r w:rsidRPr="00821948">
        <w:t>CSV Report Example</w:t>
      </w:r>
    </w:p>
    <w:p w14:paraId="7A0BD37B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See Excel file titled “Regulation</w:t>
      </w:r>
      <w:r w:rsidR="00FD3540" w:rsidRPr="00821948">
        <w:rPr>
          <w:rFonts w:ascii="Arial" w:hAnsi="Arial" w:cs="Arial"/>
          <w:sz w:val="20"/>
        </w:rPr>
        <w:t xml:space="preserve"> Market</w:t>
      </w:r>
      <w:r w:rsidRPr="00821948">
        <w:rPr>
          <w:rFonts w:ascii="Arial" w:hAnsi="Arial" w:cs="Arial"/>
          <w:sz w:val="20"/>
        </w:rPr>
        <w:t xml:space="preserve"> Credits CSV Format.csv”</w:t>
      </w:r>
    </w:p>
    <w:p w14:paraId="32BD0F25" w14:textId="77777777" w:rsidR="003649A4" w:rsidRPr="00821948" w:rsidRDefault="003649A4">
      <w:pPr>
        <w:pStyle w:val="Heading1"/>
      </w:pPr>
      <w:r w:rsidRPr="00821948">
        <w:t>XML Report Example</w:t>
      </w:r>
    </w:p>
    <w:p w14:paraId="19FAC2DB" w14:textId="77777777" w:rsidR="003649A4" w:rsidRPr="00821948" w:rsidRDefault="003649A4">
      <w:pPr>
        <w:ind w:left="432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 xml:space="preserve">See XML file titled “Regulation </w:t>
      </w:r>
      <w:r w:rsidR="00FD3540" w:rsidRPr="00821948">
        <w:rPr>
          <w:rFonts w:ascii="Arial" w:hAnsi="Arial" w:cs="Arial"/>
          <w:sz w:val="20"/>
        </w:rPr>
        <w:t xml:space="preserve">Market </w:t>
      </w:r>
      <w:r w:rsidRPr="00821948">
        <w:rPr>
          <w:rFonts w:ascii="Arial" w:hAnsi="Arial" w:cs="Arial"/>
          <w:sz w:val="20"/>
        </w:rPr>
        <w:t>Credits XML Format.xml”</w:t>
      </w:r>
    </w:p>
    <w:p w14:paraId="4411F8D1" w14:textId="77777777" w:rsidR="003649A4" w:rsidRPr="00821948" w:rsidRDefault="003649A4">
      <w:pPr>
        <w:pStyle w:val="Heading1"/>
      </w:pPr>
      <w:r w:rsidRPr="00821948">
        <w:t>Supporting Calculations</w:t>
      </w:r>
    </w:p>
    <w:p w14:paraId="008338AE" w14:textId="77777777" w:rsidR="00A71889" w:rsidRPr="00821948" w:rsidRDefault="00A71889">
      <w:pPr>
        <w:ind w:left="432"/>
        <w:rPr>
          <w:rFonts w:ascii="Arial" w:hAnsi="Arial" w:cs="Arial"/>
          <w:sz w:val="20"/>
        </w:rPr>
      </w:pPr>
    </w:p>
    <w:p w14:paraId="45221B04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Mileage Ratio (2340.46) = Actual Mileage (2340.57) / Historic Mileage (2340.58)</w:t>
      </w:r>
    </w:p>
    <w:p w14:paraId="48733DF3" w14:textId="625CA474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</w:p>
    <w:p w14:paraId="081C5BE3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If Performance Score (2340.35) &lt; .25, then</w:t>
      </w:r>
    </w:p>
    <w:p w14:paraId="42FDC751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RMCCP Credit (2340.36) = 0</w:t>
      </w:r>
    </w:p>
    <w:p w14:paraId="1CD43C94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RMMCP Credit (2340.48) = 0</w:t>
      </w:r>
    </w:p>
    <w:p w14:paraId="1524BE8E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Total Regulation Clearing Price Credits (2340.49) = 0</w:t>
      </w:r>
    </w:p>
    <w:p w14:paraId="3DAEF752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</w:p>
    <w:p w14:paraId="7C52E54B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If Performance Score (2340.35) &gt;= .25, then</w:t>
      </w:r>
    </w:p>
    <w:p w14:paraId="13336CA7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lastRenderedPageBreak/>
        <w:t>RMCCP Credit = (PJM-Assigned Reg + Self-Scheduled Reg) * Performance Score * RMCCP/12</w:t>
      </w:r>
    </w:p>
    <w:p w14:paraId="36DC06A1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2340.36 = (2340.63 + 2340.64) * 2340.35 * 3001.44/12</w:t>
      </w:r>
    </w:p>
    <w:p w14:paraId="31F71EAA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RMMCP Credit = (PJM-Assigned Reg + Self-Scheduled Reg) * Mileage Ratio * Performance Score * RMMCP/12</w:t>
      </w:r>
    </w:p>
    <w:p w14:paraId="706020DE" w14:textId="77777777" w:rsidR="00A71889" w:rsidRPr="00821948" w:rsidRDefault="00A71889" w:rsidP="00A71889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2340.48 = (2340.63 + 2340.64) * 2340.46 * 2340.35 * 3001.64/12</w:t>
      </w:r>
    </w:p>
    <w:p w14:paraId="32D9DEEF" w14:textId="77777777" w:rsidR="003649A4" w:rsidRPr="00821948" w:rsidRDefault="00A71889" w:rsidP="00741CC7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821948">
        <w:rPr>
          <w:rFonts w:ascii="Arial" w:hAnsi="Arial" w:cs="Arial"/>
          <w:sz w:val="20"/>
        </w:rPr>
        <w:t>Total Regulation Clearing Price Credits (2340.49) = RMCCP Credit (2340.36) + RMMCP Credit (2340.48)</w:t>
      </w:r>
    </w:p>
    <w:sectPr w:rsidR="003649A4" w:rsidRPr="00821948">
      <w:headerReference w:type="default" r:id="rId10"/>
      <w:footerReference w:type="default" r:id="rId11"/>
      <w:footerReference w:type="first" r:id="rId12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CAC0" w14:textId="77777777" w:rsidR="006B0854" w:rsidRDefault="006B0854">
      <w:r>
        <w:separator/>
      </w:r>
    </w:p>
  </w:endnote>
  <w:endnote w:type="continuationSeparator" w:id="0">
    <w:p w14:paraId="4DDAFD2A" w14:textId="77777777" w:rsidR="006B0854" w:rsidRDefault="006B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6AA2" w14:textId="77777777" w:rsidR="003649A4" w:rsidRDefault="003649A4">
    <w:pPr>
      <w:pStyle w:val="Footer"/>
      <w:jc w:val="center"/>
      <w:rPr>
        <w:rStyle w:val="PageNumber"/>
      </w:rPr>
    </w:pPr>
  </w:p>
  <w:p w14:paraId="0E1DA458" w14:textId="398C0DC3" w:rsidR="003649A4" w:rsidRDefault="003649A4">
    <w:pPr>
      <w:pStyle w:val="Footer"/>
    </w:pPr>
    <w:r>
      <w:rPr>
        <w:rFonts w:ascii="Arial" w:hAnsi="Arial"/>
        <w:sz w:val="20"/>
        <w:szCs w:val="20"/>
      </w:rPr>
      <w:t>PJM ©20</w:t>
    </w:r>
    <w:r w:rsidR="00E73D8F">
      <w:rPr>
        <w:rFonts w:ascii="Arial" w:hAnsi="Arial"/>
        <w:sz w:val="20"/>
        <w:szCs w:val="20"/>
      </w:rPr>
      <w:t>2</w:t>
    </w:r>
    <w:r w:rsidR="00A71889">
      <w:rPr>
        <w:rFonts w:ascii="Arial" w:hAnsi="Arial"/>
        <w:sz w:val="20"/>
        <w:szCs w:val="20"/>
      </w:rPr>
      <w:t>5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E07C64">
      <w:rPr>
        <w:rStyle w:val="PageNumber"/>
        <w:rFonts w:ascii="Arial" w:hAnsi="Arial"/>
        <w:noProof/>
        <w:sz w:val="20"/>
        <w:szCs w:val="20"/>
      </w:rPr>
      <w:t>2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E07C64">
      <w:rPr>
        <w:rStyle w:val="PageNumber"/>
        <w:rFonts w:ascii="Arial" w:hAnsi="Arial"/>
        <w:noProof/>
        <w:sz w:val="20"/>
        <w:szCs w:val="20"/>
      </w:rPr>
      <w:t>5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1072" w14:textId="4FC0A7B6" w:rsidR="003649A4" w:rsidRDefault="003649A4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994D7C">
      <w:rPr>
        <w:rFonts w:ascii="Arial" w:hAnsi="Arial"/>
        <w:sz w:val="20"/>
        <w:szCs w:val="20"/>
      </w:rPr>
      <w:t>JM ©20</w:t>
    </w:r>
    <w:r w:rsidR="00A71889">
      <w:rPr>
        <w:rFonts w:ascii="Arial" w:hAnsi="Arial"/>
        <w:sz w:val="20"/>
        <w:szCs w:val="20"/>
      </w:rPr>
      <w:t>25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E07C64">
      <w:rPr>
        <w:rStyle w:val="PageNumber"/>
        <w:rFonts w:ascii="Arial" w:hAnsi="Arial"/>
        <w:noProof/>
        <w:sz w:val="20"/>
        <w:szCs w:val="20"/>
      </w:rPr>
      <w:t>1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E07C64">
      <w:rPr>
        <w:rStyle w:val="PageNumber"/>
        <w:rFonts w:ascii="Arial" w:hAnsi="Arial"/>
        <w:noProof/>
        <w:sz w:val="20"/>
        <w:szCs w:val="20"/>
      </w:rPr>
      <w:t>5</w:t>
    </w:r>
    <w:r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79D8" w14:textId="77777777" w:rsidR="006B0854" w:rsidRDefault="006B0854">
      <w:r>
        <w:separator/>
      </w:r>
    </w:p>
  </w:footnote>
  <w:footnote w:type="continuationSeparator" w:id="0">
    <w:p w14:paraId="1AF8DD0D" w14:textId="77777777" w:rsidR="006B0854" w:rsidRDefault="006B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3649A4" w14:paraId="39B3C320" w14:textId="77777777">
      <w:tc>
        <w:tcPr>
          <w:tcW w:w="6948" w:type="dxa"/>
        </w:tcPr>
        <w:p w14:paraId="7C1253F5" w14:textId="77777777" w:rsidR="003649A4" w:rsidRDefault="006B0854">
          <w:pPr>
            <w:pStyle w:val="Header"/>
            <w:rPr>
              <w:rFonts w:ascii="Arial" w:hAnsi="Arial" w:cs="Arial"/>
            </w:rPr>
          </w:pPr>
          <w:r>
            <w:pict w14:anchorId="705D4E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4pt;height:20.25pt;mso-wrap-style:none;mso-position-horizontal-relative:char;mso-position-vertical-relative:line;v-text-anchor:middle" o:userdrawn="t" fillcolor="gray">
                <v:imagedata r:id="rId1" o:title=""/>
              </v:shape>
            </w:pict>
          </w:r>
          <w:r w:rsidR="003649A4">
            <w:t xml:space="preserve">  </w:t>
          </w:r>
        </w:p>
      </w:tc>
      <w:tc>
        <w:tcPr>
          <w:tcW w:w="5940" w:type="dxa"/>
        </w:tcPr>
        <w:p w14:paraId="662BCF12" w14:textId="77777777" w:rsidR="003649A4" w:rsidRDefault="003649A4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14:paraId="40517772" w14:textId="77777777" w:rsidR="003649A4" w:rsidRDefault="00364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CCC2E726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7bc78875-de1c-463c-ba24-2af7cf978c0a"/>
  </w:docVars>
  <w:rsids>
    <w:rsidRoot w:val="006E75D0"/>
    <w:rsid w:val="00036776"/>
    <w:rsid w:val="0003730C"/>
    <w:rsid w:val="00052844"/>
    <w:rsid w:val="000567DE"/>
    <w:rsid w:val="00067CC3"/>
    <w:rsid w:val="000835FA"/>
    <w:rsid w:val="00091B4F"/>
    <w:rsid w:val="000B02F9"/>
    <w:rsid w:val="000E46CC"/>
    <w:rsid w:val="0010116D"/>
    <w:rsid w:val="00120D6C"/>
    <w:rsid w:val="001419A1"/>
    <w:rsid w:val="00176F6B"/>
    <w:rsid w:val="001A5A91"/>
    <w:rsid w:val="001B1F5C"/>
    <w:rsid w:val="001D1E70"/>
    <w:rsid w:val="001D5D54"/>
    <w:rsid w:val="00204707"/>
    <w:rsid w:val="00214AC8"/>
    <w:rsid w:val="00232EB5"/>
    <w:rsid w:val="002410B0"/>
    <w:rsid w:val="00241491"/>
    <w:rsid w:val="00241756"/>
    <w:rsid w:val="002919D2"/>
    <w:rsid w:val="002B1440"/>
    <w:rsid w:val="002B3982"/>
    <w:rsid w:val="002E5AA1"/>
    <w:rsid w:val="003649A4"/>
    <w:rsid w:val="0037013F"/>
    <w:rsid w:val="00384AA9"/>
    <w:rsid w:val="003B2183"/>
    <w:rsid w:val="003B3ECC"/>
    <w:rsid w:val="00437099"/>
    <w:rsid w:val="00457EEB"/>
    <w:rsid w:val="00492F7A"/>
    <w:rsid w:val="004A0B0F"/>
    <w:rsid w:val="004A554C"/>
    <w:rsid w:val="004A5A44"/>
    <w:rsid w:val="004B0605"/>
    <w:rsid w:val="004C7E96"/>
    <w:rsid w:val="00502622"/>
    <w:rsid w:val="005214ED"/>
    <w:rsid w:val="00522496"/>
    <w:rsid w:val="00551DD4"/>
    <w:rsid w:val="00562A90"/>
    <w:rsid w:val="005A2000"/>
    <w:rsid w:val="005B3501"/>
    <w:rsid w:val="005E764B"/>
    <w:rsid w:val="005F677A"/>
    <w:rsid w:val="00614C48"/>
    <w:rsid w:val="006430C9"/>
    <w:rsid w:val="00657760"/>
    <w:rsid w:val="00672233"/>
    <w:rsid w:val="00681423"/>
    <w:rsid w:val="006B0854"/>
    <w:rsid w:val="006E75D0"/>
    <w:rsid w:val="007237CA"/>
    <w:rsid w:val="007335BA"/>
    <w:rsid w:val="00741CC7"/>
    <w:rsid w:val="00751326"/>
    <w:rsid w:val="007630B7"/>
    <w:rsid w:val="007F2ECF"/>
    <w:rsid w:val="00816584"/>
    <w:rsid w:val="00821948"/>
    <w:rsid w:val="00826D0E"/>
    <w:rsid w:val="008B0979"/>
    <w:rsid w:val="00901706"/>
    <w:rsid w:val="00994D7C"/>
    <w:rsid w:val="009A18F6"/>
    <w:rsid w:val="009F247A"/>
    <w:rsid w:val="00A42ED5"/>
    <w:rsid w:val="00A5471E"/>
    <w:rsid w:val="00A56A2E"/>
    <w:rsid w:val="00A71889"/>
    <w:rsid w:val="00AE1F06"/>
    <w:rsid w:val="00AE7550"/>
    <w:rsid w:val="00B61D50"/>
    <w:rsid w:val="00BB2F93"/>
    <w:rsid w:val="00C73C4F"/>
    <w:rsid w:val="00C9417C"/>
    <w:rsid w:val="00D0119B"/>
    <w:rsid w:val="00D4373E"/>
    <w:rsid w:val="00D62E18"/>
    <w:rsid w:val="00DA38CA"/>
    <w:rsid w:val="00DB05C2"/>
    <w:rsid w:val="00DF620D"/>
    <w:rsid w:val="00E07C64"/>
    <w:rsid w:val="00E141F3"/>
    <w:rsid w:val="00E206EF"/>
    <w:rsid w:val="00E550BF"/>
    <w:rsid w:val="00E73D8F"/>
    <w:rsid w:val="00E766DA"/>
    <w:rsid w:val="00F12C00"/>
    <w:rsid w:val="00F51811"/>
    <w:rsid w:val="00FB4B55"/>
    <w:rsid w:val="00FC2C41"/>
    <w:rsid w:val="00FD3540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F2F9B"/>
  <w15:chartTrackingRefBased/>
  <w15:docId w15:val="{38DB1E2C-B24D-475C-8FA3-9BB1E73B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Pr>
      <w:smallCaps/>
      <w:szCs w:val="26"/>
    </w:rPr>
  </w:style>
  <w:style w:type="paragraph" w:styleId="TOC4">
    <w:name w:val="toc 4"/>
    <w:basedOn w:val="Normal"/>
    <w:next w:val="Normal"/>
    <w:autoRedefine/>
    <w:semiHidden/>
    <w:rPr>
      <w:szCs w:val="26"/>
    </w:rPr>
  </w:style>
  <w:style w:type="paragraph" w:styleId="TOC5">
    <w:name w:val="toc 5"/>
    <w:basedOn w:val="Normal"/>
    <w:next w:val="Normal"/>
    <w:autoRedefine/>
    <w:semiHidden/>
    <w:rPr>
      <w:szCs w:val="26"/>
    </w:rPr>
  </w:style>
  <w:style w:type="paragraph" w:styleId="TOC6">
    <w:name w:val="toc 6"/>
    <w:basedOn w:val="Normal"/>
    <w:next w:val="Normal"/>
    <w:autoRedefine/>
    <w:semiHidden/>
    <w:rPr>
      <w:szCs w:val="26"/>
    </w:rPr>
  </w:style>
  <w:style w:type="paragraph" w:styleId="TOC7">
    <w:name w:val="toc 7"/>
    <w:basedOn w:val="Normal"/>
    <w:next w:val="Normal"/>
    <w:autoRedefine/>
    <w:semiHidden/>
    <w:rPr>
      <w:szCs w:val="26"/>
    </w:rPr>
  </w:style>
  <w:style w:type="paragraph" w:styleId="TOC8">
    <w:name w:val="toc 8"/>
    <w:basedOn w:val="Normal"/>
    <w:next w:val="Normal"/>
    <w:autoRedefine/>
    <w:semiHidden/>
    <w:rPr>
      <w:szCs w:val="26"/>
    </w:rPr>
  </w:style>
  <w:style w:type="paragraph" w:styleId="TOC9">
    <w:name w:val="toc 9"/>
    <w:basedOn w:val="Normal"/>
    <w:next w:val="Normal"/>
    <w:autoRedefine/>
    <w:semiHidden/>
    <w:rPr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widowControl w:val="0"/>
      <w:spacing w:line="240" w:lineRule="atLeast"/>
      <w:ind w:left="900" w:hanging="900"/>
    </w:pPr>
    <w:rPr>
      <w:sz w:val="20"/>
      <w:szCs w:val="20"/>
    </w:rPr>
  </w:style>
  <w:style w:type="character" w:customStyle="1" w:styleId="BodyTextChar">
    <w:name w:val="Body Text Char"/>
    <w:rPr>
      <w:sz w:val="24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Char">
    <w:name w:val="Body Text 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Pr>
      <w:b/>
      <w:bCs/>
    </w:rPr>
  </w:style>
  <w:style w:type="paragraph" w:customStyle="1" w:styleId="BulletList">
    <w:name w:val="Bullet List"/>
    <w:basedOn w:val="Heading1"/>
    <w:autoRedefine/>
    <w:pPr>
      <w:numPr>
        <w:numId w:val="3"/>
      </w:numPr>
      <w:ind w:left="360" w:firstLine="0"/>
    </w:pPr>
    <w:rPr>
      <w:b w:val="0"/>
      <w:kern w:val="0"/>
      <w:sz w:val="20"/>
      <w:szCs w:val="20"/>
    </w:rPr>
  </w:style>
  <w:style w:type="paragraph" w:customStyle="1" w:styleId="PJMFormulaCentered">
    <w:name w:val="PJM_Formula + Centered"/>
    <w:basedOn w:val="Normal"/>
    <w:pPr>
      <w:spacing w:after="120"/>
      <w:jc w:val="center"/>
    </w:pPr>
    <w:rPr>
      <w:rFonts w:ascii="Arial" w:hAnsi="Arial"/>
      <w:i/>
      <w:sz w:val="20"/>
    </w:rPr>
  </w:style>
  <w:style w:type="paragraph" w:customStyle="1" w:styleId="TableParagraph">
    <w:name w:val="Table Paragraph"/>
    <w:basedOn w:val="Normal"/>
    <w:uiPriority w:val="1"/>
    <w:qFormat/>
    <w:rsid w:val="004C7E96"/>
    <w:pPr>
      <w:spacing w:line="227" w:lineRule="exact"/>
      <w:ind w:left="107"/>
    </w:pPr>
  </w:style>
  <w:style w:type="paragraph" w:styleId="Revision">
    <w:name w:val="Revision"/>
    <w:hidden/>
    <w:uiPriority w:val="99"/>
    <w:semiHidden/>
    <w:rsid w:val="00FD354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1889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2E5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A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1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0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6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34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72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23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25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3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6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2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84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9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3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3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49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6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5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164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5C19-A6E9-4CE1-9F45-7F2C732E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Oxygen Consulting, LLC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DISCIN</dc:creator>
  <cp:keywords/>
  <dc:description/>
  <cp:lastModifiedBy>Disciullo, Nicholas</cp:lastModifiedBy>
  <cp:revision>2</cp:revision>
  <cp:lastPrinted>2012-10-16T18:54:00Z</cp:lastPrinted>
  <dcterms:created xsi:type="dcterms:W3CDTF">2025-06-18T19:30:00Z</dcterms:created>
  <dcterms:modified xsi:type="dcterms:W3CDTF">2025-06-18T19:30:00Z</dcterms:modified>
</cp:coreProperties>
</file>