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8D4D" w14:textId="77777777" w:rsidR="003649A4" w:rsidRDefault="003649A4">
      <w:r>
        <w:tab/>
        <w:t xml:space="preserve"> </w:t>
      </w:r>
    </w:p>
    <w:p w14:paraId="7817BFF3" w14:textId="77777777" w:rsidR="003649A4" w:rsidRDefault="003649A4"/>
    <w:p w14:paraId="422BD81F" w14:textId="77777777" w:rsidR="003649A4" w:rsidRDefault="003649A4"/>
    <w:tbl>
      <w:tblPr>
        <w:tblW w:w="0" w:type="auto"/>
        <w:tblLook w:val="01E0" w:firstRow="1" w:lastRow="1" w:firstColumn="1" w:lastColumn="1" w:noHBand="0" w:noVBand="0"/>
      </w:tblPr>
      <w:tblGrid>
        <w:gridCol w:w="6478"/>
        <w:gridCol w:w="6482"/>
      </w:tblGrid>
      <w:tr w:rsidR="003649A4" w14:paraId="6B2753B7" w14:textId="77777777">
        <w:tc>
          <w:tcPr>
            <w:tcW w:w="6588" w:type="dxa"/>
          </w:tcPr>
          <w:p w14:paraId="270EE711" w14:textId="77777777" w:rsidR="003649A4" w:rsidRDefault="003649A4"/>
          <w:p w14:paraId="01C34DCC" w14:textId="18398428" w:rsidR="003649A4" w:rsidRDefault="00331B90">
            <w:r>
              <w:rPr>
                <w:noProof/>
              </w:rPr>
              <w:drawing>
                <wp:inline distT="0" distB="0" distL="0" distR="0" wp14:anchorId="0D1981CC" wp14:editId="688D8523">
                  <wp:extent cx="1371600" cy="5238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14:paraId="3C8C3DB0" w14:textId="4552505D" w:rsidR="003649A4" w:rsidRDefault="00331B9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695329F" wp14:editId="7B77FDD8">
                  <wp:extent cx="148590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C38EF6" w14:textId="77777777" w:rsidR="003649A4" w:rsidRDefault="003649A4"/>
    <w:p w14:paraId="0F505A66" w14:textId="77777777" w:rsidR="003649A4" w:rsidRDefault="003649A4"/>
    <w:p w14:paraId="18A8A52B" w14:textId="77777777" w:rsidR="003649A4" w:rsidRDefault="003649A4"/>
    <w:p w14:paraId="18D5193F" w14:textId="77777777" w:rsidR="003649A4" w:rsidRDefault="003649A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64953" w14:textId="77777777" w:rsidR="003649A4" w:rsidRDefault="003649A4">
      <w:pPr>
        <w:ind w:left="10080" w:firstLine="720"/>
      </w:pPr>
    </w:p>
    <w:p w14:paraId="37A7BAE9" w14:textId="77777777" w:rsidR="003649A4" w:rsidRDefault="003649A4"/>
    <w:p w14:paraId="38BA5A9B" w14:textId="77777777" w:rsidR="003649A4" w:rsidRDefault="003649A4">
      <w:r>
        <w:tab/>
      </w:r>
    </w:p>
    <w:p w14:paraId="6032BD9B" w14:textId="77777777" w:rsidR="003649A4" w:rsidRDefault="003649A4"/>
    <w:p w14:paraId="15A0C039" w14:textId="77777777" w:rsidR="003649A4" w:rsidRDefault="003649A4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MSRS Report Format Documentation</w:t>
      </w:r>
    </w:p>
    <w:p w14:paraId="52FB072C" w14:textId="77777777" w:rsidR="003649A4" w:rsidRDefault="003649A4">
      <w:pPr>
        <w:rPr>
          <w:rFonts w:ascii="Arial" w:hAnsi="Arial" w:cs="Arial"/>
          <w:b/>
          <w:sz w:val="40"/>
        </w:rPr>
      </w:pPr>
    </w:p>
    <w:p w14:paraId="034F133B" w14:textId="39812AFB" w:rsidR="003649A4" w:rsidRDefault="003649A4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Regulation </w:t>
      </w:r>
      <w:r w:rsidR="0019442E">
        <w:rPr>
          <w:rFonts w:ascii="Arial" w:hAnsi="Arial" w:cs="Arial"/>
          <w:b/>
          <w:sz w:val="40"/>
        </w:rPr>
        <w:t>Shoulder Opportunity Cost Details</w:t>
      </w:r>
    </w:p>
    <w:p w14:paraId="0BA175A9" w14:textId="77777777" w:rsidR="003649A4" w:rsidRDefault="003649A4">
      <w:pPr>
        <w:rPr>
          <w:rFonts w:ascii="Arial" w:hAnsi="Arial" w:cs="Arial"/>
          <w:b/>
          <w:sz w:val="40"/>
        </w:rPr>
      </w:pPr>
    </w:p>
    <w:p w14:paraId="4C2B82DA" w14:textId="77777777" w:rsidR="003649A4" w:rsidRDefault="003649A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</w:rPr>
        <w:t xml:space="preserve">Version </w:t>
      </w:r>
      <w:r w:rsidR="004C7E96">
        <w:rPr>
          <w:rFonts w:ascii="Arial" w:hAnsi="Arial" w:cs="Arial"/>
          <w:b/>
          <w:sz w:val="28"/>
        </w:rPr>
        <w:t>1</w:t>
      </w:r>
    </w:p>
    <w:p w14:paraId="3C47C758" w14:textId="77777777" w:rsidR="003649A4" w:rsidRDefault="003649A4"/>
    <w:p w14:paraId="28B74393" w14:textId="77777777" w:rsidR="003649A4" w:rsidRDefault="003649A4"/>
    <w:p w14:paraId="19A8389E" w14:textId="77777777" w:rsidR="003649A4" w:rsidRDefault="003649A4"/>
    <w:p w14:paraId="6590D38C" w14:textId="77777777" w:rsidR="003649A4" w:rsidRDefault="003649A4"/>
    <w:p w14:paraId="00108D03" w14:textId="77777777" w:rsidR="003649A4" w:rsidRDefault="003649A4"/>
    <w:p w14:paraId="15FE55D4" w14:textId="77777777" w:rsidR="003649A4" w:rsidRDefault="003649A4"/>
    <w:p w14:paraId="592F6029" w14:textId="77777777" w:rsidR="003649A4" w:rsidRDefault="003649A4"/>
    <w:p w14:paraId="0988EA98" w14:textId="77777777" w:rsidR="003649A4" w:rsidRDefault="003649A4"/>
    <w:p w14:paraId="649C877B" w14:textId="77777777" w:rsidR="003649A4" w:rsidRDefault="003649A4"/>
    <w:p w14:paraId="640677B6" w14:textId="77777777" w:rsidR="003649A4" w:rsidRDefault="003649A4"/>
    <w:p w14:paraId="672B6EE3" w14:textId="77777777" w:rsidR="003649A4" w:rsidRDefault="003649A4"/>
    <w:p w14:paraId="0849D847" w14:textId="77777777" w:rsidR="003649A4" w:rsidRDefault="003649A4"/>
    <w:p w14:paraId="13FADF28" w14:textId="77777777" w:rsidR="003649A4" w:rsidRDefault="003649A4"/>
    <w:p w14:paraId="1A4FC053" w14:textId="77777777" w:rsidR="003649A4" w:rsidRDefault="003649A4">
      <w:pPr>
        <w:rPr>
          <w:rFonts w:ascii="Arial" w:hAnsi="Arial" w:cs="Arial"/>
        </w:rPr>
      </w:pPr>
      <w:r>
        <w:rPr>
          <w:rFonts w:ascii="Arial" w:hAnsi="Arial" w:cs="Arial"/>
        </w:rPr>
        <w:t>Revision History</w:t>
      </w:r>
    </w:p>
    <w:p w14:paraId="0091EBE0" w14:textId="77777777" w:rsidR="003649A4" w:rsidRDefault="003649A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1698"/>
        <w:gridCol w:w="7369"/>
      </w:tblGrid>
      <w:tr w:rsidR="003649A4" w14:paraId="017F02B0" w14:textId="77777777" w:rsidTr="00E73D8F">
        <w:trPr>
          <w:trHeight w:val="142"/>
        </w:trPr>
        <w:tc>
          <w:tcPr>
            <w:tcW w:w="2109" w:type="dxa"/>
            <w:shd w:val="clear" w:color="auto" w:fill="808080"/>
          </w:tcPr>
          <w:p w14:paraId="79129AEE" w14:textId="77777777" w:rsidR="003649A4" w:rsidRDefault="00E73D8F" w:rsidP="00E73D8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1698" w:type="dxa"/>
            <w:shd w:val="clear" w:color="auto" w:fill="808080"/>
          </w:tcPr>
          <w:p w14:paraId="59CEA342" w14:textId="77777777" w:rsidR="003649A4" w:rsidRDefault="003649A4" w:rsidP="00E73D8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Revision</w:t>
            </w:r>
          </w:p>
        </w:tc>
        <w:tc>
          <w:tcPr>
            <w:tcW w:w="7369" w:type="dxa"/>
            <w:shd w:val="clear" w:color="auto" w:fill="808080"/>
          </w:tcPr>
          <w:p w14:paraId="6759F7A9" w14:textId="77777777" w:rsidR="003649A4" w:rsidRDefault="003649A4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Description</w:t>
            </w:r>
          </w:p>
        </w:tc>
      </w:tr>
      <w:tr w:rsidR="003649A4" w14:paraId="53622A15" w14:textId="77777777" w:rsidTr="00E73D8F">
        <w:trPr>
          <w:trHeight w:val="178"/>
        </w:trPr>
        <w:tc>
          <w:tcPr>
            <w:tcW w:w="2109" w:type="dxa"/>
          </w:tcPr>
          <w:p w14:paraId="0096C9D2" w14:textId="2B80C08F" w:rsidR="003649A4" w:rsidRDefault="003F212E" w:rsidP="00E73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C7E96">
              <w:rPr>
                <w:rFonts w:ascii="Arial" w:hAnsi="Arial" w:cs="Arial"/>
                <w:sz w:val="20"/>
                <w:szCs w:val="20"/>
              </w:rPr>
              <w:t>/1/202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8" w:type="dxa"/>
          </w:tcPr>
          <w:p w14:paraId="33C93364" w14:textId="77777777" w:rsidR="003649A4" w:rsidRDefault="003649A4" w:rsidP="00E73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9" w:type="dxa"/>
          </w:tcPr>
          <w:p w14:paraId="48C547D9" w14:textId="77777777" w:rsidR="003649A4" w:rsidRDefault="00364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Distribution</w:t>
            </w:r>
          </w:p>
        </w:tc>
      </w:tr>
    </w:tbl>
    <w:p w14:paraId="77F54C7B" w14:textId="77777777" w:rsidR="003649A4" w:rsidRDefault="003649A4"/>
    <w:p w14:paraId="19B15A19" w14:textId="67BCF91F" w:rsidR="003649A4" w:rsidRPr="00861D4E" w:rsidRDefault="003649A4" w:rsidP="00861D4E">
      <w:pPr>
        <w:pStyle w:val="Heading1"/>
        <w:numPr>
          <w:ilvl w:val="0"/>
          <w:numId w:val="2"/>
        </w:numPr>
      </w:pPr>
      <w:bookmarkStart w:id="0" w:name="_Toc99774638"/>
      <w:r>
        <w:t>Report</w:t>
      </w:r>
    </w:p>
    <w:p w14:paraId="43DA309F" w14:textId="77777777" w:rsidR="003649A4" w:rsidRDefault="003649A4">
      <w:pPr>
        <w:rPr>
          <w:rFonts w:ascii="Arial" w:hAnsi="Arial" w:cs="Arial"/>
          <w:b/>
          <w:sz w:val="20"/>
        </w:rPr>
      </w:pPr>
    </w:p>
    <w:p w14:paraId="24881ECD" w14:textId="501659F4" w:rsidR="003649A4" w:rsidRDefault="003649A4" w:rsidP="00A56A2E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MSRS</w:t>
      </w:r>
      <w:r>
        <w:rPr>
          <w:rFonts w:ascii="Arial" w:hAnsi="Arial" w:cs="Arial"/>
          <w:sz w:val="20"/>
        </w:rPr>
        <w:t xml:space="preserve"> Report Name: </w:t>
      </w:r>
      <w:r w:rsidR="00E02A6F" w:rsidRPr="00E02A6F">
        <w:rPr>
          <w:rFonts w:ascii="Arial" w:hAnsi="Arial" w:cs="Arial"/>
          <w:sz w:val="20"/>
        </w:rPr>
        <w:t>Regulation</w:t>
      </w:r>
      <w:r w:rsidR="005135EB">
        <w:rPr>
          <w:rFonts w:ascii="Arial" w:hAnsi="Arial" w:cs="Arial"/>
          <w:sz w:val="20"/>
        </w:rPr>
        <w:t xml:space="preserve"> </w:t>
      </w:r>
      <w:r w:rsidR="0019442E">
        <w:rPr>
          <w:rFonts w:ascii="Arial" w:hAnsi="Arial" w:cs="Arial"/>
          <w:sz w:val="20"/>
        </w:rPr>
        <w:t>Shoulder Opportunity Cost Details</w:t>
      </w:r>
    </w:p>
    <w:p w14:paraId="15126C8D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7EDB1B09" w14:textId="47637B15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Report short name for User Interface: </w:t>
      </w:r>
      <w:r w:rsidR="0019442E" w:rsidRPr="00E02A6F">
        <w:rPr>
          <w:rFonts w:ascii="Arial" w:hAnsi="Arial" w:cs="Arial"/>
          <w:sz w:val="20"/>
        </w:rPr>
        <w:t>Regulation</w:t>
      </w:r>
      <w:r w:rsidR="0019442E">
        <w:rPr>
          <w:rFonts w:ascii="Arial" w:hAnsi="Arial" w:cs="Arial"/>
          <w:sz w:val="20"/>
        </w:rPr>
        <w:t xml:space="preserve"> Shoulder Opportunity Cost Details</w:t>
      </w:r>
    </w:p>
    <w:p w14:paraId="36A922DA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11AAE555" w14:textId="285886B4" w:rsidR="003649A4" w:rsidRDefault="003649A4">
      <w:pPr>
        <w:ind w:left="432"/>
        <w:rPr>
          <w:rFonts w:ascii="Arial" w:hAnsi="Arial" w:cs="Arial"/>
          <w:sz w:val="20"/>
        </w:rPr>
      </w:pPr>
      <w:r w:rsidRPr="0037013F">
        <w:rPr>
          <w:rFonts w:ascii="Arial" w:hAnsi="Arial" w:cs="Arial"/>
          <w:sz w:val="20"/>
        </w:rPr>
        <w:t xml:space="preserve">Download File Name Abbreviation: </w:t>
      </w:r>
      <w:proofErr w:type="spellStart"/>
      <w:r w:rsidR="0019442E">
        <w:rPr>
          <w:rFonts w:ascii="Arial" w:hAnsi="Arial" w:cs="Arial"/>
          <w:sz w:val="20"/>
        </w:rPr>
        <w:t>ShdOppCost</w:t>
      </w:r>
      <w:proofErr w:type="spellEnd"/>
    </w:p>
    <w:p w14:paraId="642CA313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1F790EC2" w14:textId="0485C1BB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 Granularity: </w:t>
      </w:r>
      <w:r w:rsidR="00551DD4">
        <w:rPr>
          <w:rFonts w:ascii="Arial" w:hAnsi="Arial" w:cs="Arial"/>
          <w:sz w:val="20"/>
        </w:rPr>
        <w:t>Sub-hourly</w:t>
      </w:r>
    </w:p>
    <w:p w14:paraId="0237EFD0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36F7AF0B" w14:textId="1A65DF7A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Frequency: Updated daily </w:t>
      </w:r>
    </w:p>
    <w:p w14:paraId="5703007B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21DF75FC" w14:textId="513B1C2B" w:rsidR="003649A4" w:rsidRPr="00861D4E" w:rsidRDefault="003649A4" w:rsidP="00861D4E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Range Displayed on Report: Start Date through End Date</w:t>
      </w:r>
    </w:p>
    <w:p w14:paraId="14BE048A" w14:textId="16F78C03" w:rsidR="003649A4" w:rsidRDefault="003649A4">
      <w:pPr>
        <w:pStyle w:val="Heading1"/>
      </w:pPr>
      <w:r>
        <w:t>Supported Billing Line Items</w:t>
      </w:r>
    </w:p>
    <w:p w14:paraId="308E2B37" w14:textId="7C665114" w:rsidR="004463EE" w:rsidRPr="004463EE" w:rsidRDefault="004463EE" w:rsidP="004463EE">
      <w:pPr>
        <w:pStyle w:val="BulletList"/>
      </w:pPr>
      <w:r>
        <w:t>Regulation and Frequency Response Service Credit (2340)</w:t>
      </w:r>
    </w:p>
    <w:p w14:paraId="58C0DA41" w14:textId="77777777" w:rsidR="003649A4" w:rsidRDefault="003649A4">
      <w:pPr>
        <w:pStyle w:val="Heading1"/>
      </w:pPr>
      <w:r>
        <w:t>Report Content Summary</w:t>
      </w:r>
    </w:p>
    <w:p w14:paraId="7981CB53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03621595" w14:textId="06C71645" w:rsidR="003649A4" w:rsidRDefault="003649A4">
      <w:pPr>
        <w:ind w:left="432"/>
        <w:rPr>
          <w:rFonts w:ascii="Arial" w:hAnsi="Arial" w:cs="Arial"/>
          <w:sz w:val="20"/>
          <w:szCs w:val="20"/>
        </w:rPr>
      </w:pPr>
      <w:r w:rsidRPr="00A71889">
        <w:rPr>
          <w:rFonts w:ascii="Arial" w:hAnsi="Arial" w:cs="Arial"/>
          <w:sz w:val="20"/>
          <w:szCs w:val="20"/>
        </w:rPr>
        <w:t xml:space="preserve">This report displays the customer account’s </w:t>
      </w:r>
      <w:r w:rsidR="00173524">
        <w:rPr>
          <w:rFonts w:ascii="Arial" w:hAnsi="Arial" w:cs="Arial"/>
          <w:sz w:val="20"/>
          <w:szCs w:val="20"/>
        </w:rPr>
        <w:t>5-minute</w:t>
      </w:r>
      <w:r w:rsidRPr="00A71889">
        <w:rPr>
          <w:rFonts w:ascii="Arial" w:hAnsi="Arial" w:cs="Arial"/>
          <w:sz w:val="20"/>
          <w:szCs w:val="20"/>
        </w:rPr>
        <w:t xml:space="preserve"> Regulation </w:t>
      </w:r>
      <w:r w:rsidR="0019442E">
        <w:rPr>
          <w:rFonts w:ascii="Arial" w:hAnsi="Arial" w:cs="Arial"/>
          <w:sz w:val="20"/>
          <w:szCs w:val="20"/>
        </w:rPr>
        <w:t>Shoulder Opportunity Cost Details</w:t>
      </w:r>
      <w:r w:rsidR="00E02A6F">
        <w:rPr>
          <w:rFonts w:ascii="Arial" w:hAnsi="Arial" w:cs="Arial"/>
          <w:sz w:val="20"/>
          <w:szCs w:val="20"/>
        </w:rPr>
        <w:t xml:space="preserve"> </w:t>
      </w:r>
      <w:r w:rsidR="004A47D0">
        <w:rPr>
          <w:rFonts w:ascii="Arial" w:hAnsi="Arial" w:cs="Arial"/>
          <w:sz w:val="20"/>
          <w:szCs w:val="20"/>
        </w:rPr>
        <w:t>for generation units</w:t>
      </w:r>
      <w:r w:rsidRPr="00A71889">
        <w:rPr>
          <w:rFonts w:ascii="Arial" w:hAnsi="Arial" w:cs="Arial"/>
          <w:sz w:val="20"/>
          <w:szCs w:val="20"/>
        </w:rPr>
        <w:t xml:space="preserve">. The </w:t>
      </w:r>
      <w:r w:rsidR="00324600">
        <w:rPr>
          <w:rFonts w:ascii="Arial" w:hAnsi="Arial" w:cs="Arial"/>
          <w:sz w:val="20"/>
          <w:szCs w:val="20"/>
        </w:rPr>
        <w:t>amounts i</w:t>
      </w:r>
      <w:r w:rsidRPr="00A71889">
        <w:rPr>
          <w:rFonts w:ascii="Arial" w:hAnsi="Arial" w:cs="Arial"/>
          <w:sz w:val="20"/>
          <w:szCs w:val="20"/>
        </w:rPr>
        <w:t xml:space="preserve">n this report do not reflect the customer account’s share of jointly owned </w:t>
      </w:r>
      <w:r w:rsidR="00A71889" w:rsidRPr="00A71889">
        <w:rPr>
          <w:rFonts w:ascii="Arial" w:hAnsi="Arial" w:cs="Arial"/>
          <w:sz w:val="20"/>
          <w:szCs w:val="20"/>
        </w:rPr>
        <w:t>resources</w:t>
      </w:r>
      <w:r w:rsidRPr="00A71889">
        <w:rPr>
          <w:rFonts w:ascii="Arial" w:hAnsi="Arial" w:cs="Arial"/>
          <w:sz w:val="20"/>
          <w:szCs w:val="20"/>
        </w:rPr>
        <w:t xml:space="preserve">. All owners will see the full </w:t>
      </w:r>
      <w:r w:rsidR="00324600">
        <w:rPr>
          <w:rFonts w:ascii="Arial" w:hAnsi="Arial" w:cs="Arial"/>
          <w:sz w:val="20"/>
          <w:szCs w:val="20"/>
        </w:rPr>
        <w:t>MWs and opportunity costs</w:t>
      </w:r>
      <w:r w:rsidRPr="00A71889">
        <w:rPr>
          <w:rFonts w:ascii="Arial" w:hAnsi="Arial" w:cs="Arial"/>
          <w:sz w:val="20"/>
          <w:szCs w:val="20"/>
        </w:rPr>
        <w:t xml:space="preserve"> assigned to the </w:t>
      </w:r>
      <w:r w:rsidR="00A71889" w:rsidRPr="00A71889">
        <w:rPr>
          <w:rFonts w:ascii="Arial" w:hAnsi="Arial" w:cs="Arial"/>
          <w:sz w:val="20"/>
          <w:szCs w:val="20"/>
        </w:rPr>
        <w:t>resource</w:t>
      </w:r>
      <w:r w:rsidRPr="00A71889">
        <w:rPr>
          <w:rFonts w:ascii="Arial" w:hAnsi="Arial" w:cs="Arial"/>
          <w:sz w:val="20"/>
          <w:szCs w:val="20"/>
        </w:rPr>
        <w:t>.</w:t>
      </w:r>
    </w:p>
    <w:p w14:paraId="64E2B44B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682B7FCE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67D2E484" w14:textId="77777777" w:rsidR="003649A4" w:rsidRDefault="003649A4">
      <w:pPr>
        <w:rPr>
          <w:sz w:val="20"/>
          <w:szCs w:val="20"/>
        </w:rPr>
      </w:pPr>
    </w:p>
    <w:p w14:paraId="20957E43" w14:textId="77777777" w:rsidR="003649A4" w:rsidRDefault="003649A4">
      <w:pPr>
        <w:pStyle w:val="Heading1"/>
      </w:pPr>
      <w:r>
        <w:lastRenderedPageBreak/>
        <w:t>Summary of Changes and Special Logic</w:t>
      </w:r>
    </w:p>
    <w:p w14:paraId="49AEA5E8" w14:textId="24005CFD" w:rsidR="003649A4" w:rsidRDefault="003649A4" w:rsidP="00861D4E">
      <w:pPr>
        <w:pStyle w:val="Heading1"/>
      </w:pPr>
      <w:r>
        <w:t>Report Columns</w:t>
      </w:r>
    </w:p>
    <w:p w14:paraId="4C1F877A" w14:textId="77777777" w:rsidR="003649A4" w:rsidRDefault="003649A4">
      <w:pPr>
        <w:ind w:left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following columns will appear in the body of the report:</w:t>
      </w:r>
    </w:p>
    <w:p w14:paraId="709D371F" w14:textId="77777777" w:rsidR="003649A4" w:rsidRDefault="003649A4"/>
    <w:tbl>
      <w:tblPr>
        <w:tblW w:w="1157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4609"/>
        <w:gridCol w:w="1650"/>
        <w:gridCol w:w="2281"/>
      </w:tblGrid>
      <w:tr w:rsidR="007335BA" w14:paraId="4753F2B9" w14:textId="77777777" w:rsidTr="00E02A6F">
        <w:tc>
          <w:tcPr>
            <w:tcW w:w="3037" w:type="dxa"/>
          </w:tcPr>
          <w:p w14:paraId="5A589E5D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Online and CSV Column Name</w:t>
            </w:r>
          </w:p>
        </w:tc>
        <w:tc>
          <w:tcPr>
            <w:tcW w:w="4609" w:type="dxa"/>
          </w:tcPr>
          <w:p w14:paraId="14C04A9A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XML Column Name</w:t>
            </w:r>
          </w:p>
        </w:tc>
        <w:tc>
          <w:tcPr>
            <w:tcW w:w="1650" w:type="dxa"/>
          </w:tcPr>
          <w:p w14:paraId="2FFAB03E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Column Number</w:t>
            </w:r>
          </w:p>
        </w:tc>
        <w:tc>
          <w:tcPr>
            <w:tcW w:w="2281" w:type="dxa"/>
          </w:tcPr>
          <w:p w14:paraId="3F47FA23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Data Type</w:t>
            </w:r>
          </w:p>
        </w:tc>
      </w:tr>
      <w:tr w:rsidR="00E02A6F" w14:paraId="1771609A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A2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BFD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90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976" w14:textId="1581AD94" w:rsidR="00E02A6F" w:rsidRPr="00E02A6F" w:rsidRDefault="00281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E02A6F" w14:paraId="696025C8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84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 Code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ED0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CUSTOMER_CODE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E2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4000.02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E3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VARCHAR2(6)</w:t>
            </w:r>
          </w:p>
        </w:tc>
      </w:tr>
      <w:tr w:rsidR="00E02A6F" w14:paraId="6681984C" w14:textId="77777777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225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EPT Interval Ending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BEA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EPT_INTERVAL_ENDING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BDF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4001.40</w:t>
            </w:r>
          </w:p>
        </w:tc>
        <w:tc>
          <w:tcPr>
            <w:tcW w:w="2281" w:type="dxa"/>
          </w:tcPr>
          <w:p w14:paraId="436F4027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1DFCF754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mm/dd/</w:t>
            </w:r>
            <w:proofErr w:type="spellStart"/>
            <w:r w:rsidRPr="0010414D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10414D">
              <w:rPr>
                <w:rFonts w:ascii="Arial" w:hAnsi="Arial" w:cs="Arial"/>
                <w:sz w:val="20"/>
                <w:szCs w:val="20"/>
              </w:rPr>
              <w:t xml:space="preserve"> HH24:MM format</w:t>
            </w:r>
          </w:p>
          <w:p w14:paraId="31EB61AB" w14:textId="77777777" w:rsid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(Displays first interval of the day as hour 0 minute 05 and last interval of the day as hour 24 minute 00)</w:t>
            </w:r>
          </w:p>
          <w:p w14:paraId="6070E803" w14:textId="0CA91F38" w:rsidR="00074116" w:rsidRPr="00E02A6F" w:rsidRDefault="00074116" w:rsidP="00E02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6F" w14:paraId="4E6F6021" w14:textId="77777777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A51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GMT Interval Ending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ED3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GMT_INTERVAL_ENDING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D60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4001.41</w:t>
            </w:r>
          </w:p>
        </w:tc>
        <w:tc>
          <w:tcPr>
            <w:tcW w:w="2281" w:type="dxa"/>
          </w:tcPr>
          <w:p w14:paraId="02FFC40A" w14:textId="77777777" w:rsidR="00E02A6F" w:rsidRPr="0010414D" w:rsidRDefault="00E02A6F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29106B88" w14:textId="77777777" w:rsidR="00E02A6F" w:rsidRPr="0010414D" w:rsidRDefault="00E02A6F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mm/dd/</w:t>
            </w:r>
            <w:proofErr w:type="spellStart"/>
            <w:r w:rsidRPr="0010414D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10414D">
              <w:rPr>
                <w:rFonts w:ascii="Arial" w:hAnsi="Arial" w:cs="Arial"/>
                <w:sz w:val="20"/>
                <w:szCs w:val="20"/>
              </w:rPr>
              <w:t xml:space="preserve"> HH24:MM format</w:t>
            </w:r>
          </w:p>
          <w:p w14:paraId="0210829D" w14:textId="75FA0736" w:rsidR="00E02A6F" w:rsidRPr="00E02A6F" w:rsidRDefault="00E02A6F" w:rsidP="00281222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(Displays first interval of the day in relation to EPT interval as hour 04 minute 05 or hour 05 minute 05 (EDT/EST depending) and last interval of the day as hour 04 minute 00 of the next day or hour 05 minute 00 of the next day (EDT/EST depending))</w:t>
            </w:r>
          </w:p>
        </w:tc>
      </w:tr>
      <w:tr w:rsidR="0019442E" w14:paraId="4A2CD876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441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Unit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B0C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UNIT_ID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F23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4000.63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8E5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442E">
              <w:rPr>
                <w:rFonts w:ascii="Arial" w:hAnsi="Arial" w:cs="Arial"/>
                <w:sz w:val="20"/>
                <w:szCs w:val="20"/>
              </w:rPr>
              <w:t>NUMBER(</w:t>
            </w:r>
            <w:proofErr w:type="gramEnd"/>
            <w:r w:rsidRPr="0019442E">
              <w:rPr>
                <w:rFonts w:ascii="Arial" w:hAnsi="Arial" w:cs="Arial"/>
                <w:sz w:val="20"/>
                <w:szCs w:val="20"/>
              </w:rPr>
              <w:t>8,0)</w:t>
            </w:r>
          </w:p>
        </w:tc>
      </w:tr>
      <w:tr w:rsidR="0019442E" w14:paraId="6858D9F7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6AB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Unit Name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2C1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UNIT_NAME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EA2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4000.64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C0A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VARCHAR2(75)</w:t>
            </w:r>
          </w:p>
        </w:tc>
      </w:tr>
      <w:tr w:rsidR="0019442E" w14:paraId="7D942068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CD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Unit Ownership Share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F51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UNIT_OWNERSHIP_SHARE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B22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3000.80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BF9F" w14:textId="42BFC9AE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6DE1E109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A55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EPT Shoulder Interval Ending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ECC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EPT_SHLD_INTERVAL_ENDING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944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4001.46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A88" w14:textId="77777777" w:rsid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28EDC03F" w14:textId="77777777" w:rsidR="00074116" w:rsidRPr="0010414D" w:rsidRDefault="00074116" w:rsidP="00074116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lastRenderedPageBreak/>
              <w:t>mm/dd/</w:t>
            </w:r>
            <w:proofErr w:type="spellStart"/>
            <w:r w:rsidRPr="0010414D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10414D">
              <w:rPr>
                <w:rFonts w:ascii="Arial" w:hAnsi="Arial" w:cs="Arial"/>
                <w:sz w:val="20"/>
                <w:szCs w:val="20"/>
              </w:rPr>
              <w:t xml:space="preserve"> HH24:MM format</w:t>
            </w:r>
          </w:p>
          <w:p w14:paraId="6DFBBF2C" w14:textId="754982F3" w:rsidR="00074116" w:rsidRPr="0019442E" w:rsidRDefault="00074116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(Displays first interval of the day as hour 0 minute 05 and last interval of the day as hour 24 minute 00)</w:t>
            </w:r>
          </w:p>
        </w:tc>
      </w:tr>
      <w:tr w:rsidR="0019442E" w14:paraId="53D348C7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FF6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lastRenderedPageBreak/>
              <w:t>Ramp In Indicator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989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RAMP_IN_INDICATOR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06D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3004.60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FBB" w14:textId="77777777" w:rsid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VARCHAR2(1)</w:t>
            </w:r>
          </w:p>
          <w:p w14:paraId="2B7C1F8E" w14:textId="6A3CCD7C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See possible values below</w:t>
            </w:r>
          </w:p>
        </w:tc>
      </w:tr>
      <w:tr w:rsidR="0019442E" w14:paraId="497F8970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AFD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Ramp Out Indicator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DCD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RAMP_OUT_INDICATOR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EE9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3004.61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36E" w14:textId="77777777" w:rsid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VARCHAR2(1)</w:t>
            </w:r>
          </w:p>
          <w:p w14:paraId="0B9AB788" w14:textId="34D9339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See possible values below</w:t>
            </w:r>
          </w:p>
        </w:tc>
      </w:tr>
      <w:tr w:rsidR="0019442E" w14:paraId="71656705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DE5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RT Schedule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CB8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RT_SCHED_ID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995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3002.19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A9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5184B498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2D1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Economic Min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A43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ECON_MIN_MW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A1D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3002.22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935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78652456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9DA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Economic Max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9D9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ECON_MAX_MW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1CE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3002.23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99C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015354D9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262" w14:textId="3C30CE1A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</w:t>
            </w:r>
            <w:r w:rsidR="004E11F7">
              <w:rPr>
                <w:rFonts w:ascii="Arial" w:hAnsi="Arial" w:cs="Arial"/>
                <w:sz w:val="20"/>
                <w:szCs w:val="20"/>
              </w:rPr>
              <w:t>ulation</w:t>
            </w:r>
            <w:r w:rsidRPr="0019442E">
              <w:rPr>
                <w:rFonts w:ascii="Arial" w:hAnsi="Arial" w:cs="Arial"/>
                <w:sz w:val="20"/>
                <w:szCs w:val="20"/>
              </w:rPr>
              <w:t xml:space="preserve"> Min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4F47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REG_MIN_MW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34B" w14:textId="03458CBC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3004.4</w:t>
            </w:r>
            <w:r w:rsidR="004E11F7">
              <w:rPr>
                <w:rFonts w:ascii="Arial" w:hAnsi="Arial" w:cs="Arial"/>
                <w:sz w:val="20"/>
                <w:szCs w:val="20"/>
              </w:rPr>
              <w:t>1</w:t>
            </w:r>
            <w:r w:rsidRPr="001944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853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2AF1ED95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140" w14:textId="42BC815D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</w:t>
            </w:r>
            <w:r w:rsidR="004E11F7">
              <w:rPr>
                <w:rFonts w:ascii="Arial" w:hAnsi="Arial" w:cs="Arial"/>
                <w:sz w:val="20"/>
                <w:szCs w:val="20"/>
              </w:rPr>
              <w:t>ulation</w:t>
            </w:r>
            <w:r w:rsidRPr="0019442E">
              <w:rPr>
                <w:rFonts w:ascii="Arial" w:hAnsi="Arial" w:cs="Arial"/>
                <w:sz w:val="20"/>
                <w:szCs w:val="20"/>
              </w:rPr>
              <w:t xml:space="preserve"> Max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BD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REG_MAX_MW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239" w14:textId="69E057E9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3004.4</w:t>
            </w:r>
            <w:r w:rsidR="004E11F7">
              <w:rPr>
                <w:rFonts w:ascii="Arial" w:hAnsi="Arial" w:cs="Arial"/>
                <w:sz w:val="20"/>
                <w:szCs w:val="20"/>
              </w:rPr>
              <w:t>2</w:t>
            </w:r>
            <w:r w:rsidRPr="001944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FAA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6F5DACF0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716" w14:textId="77777777" w:rsidR="0019442E" w:rsidRPr="0019442E" w:rsidRDefault="0019442E" w:rsidP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 Min MW Used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52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REG_MIN_MW_USED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CC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2340.78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37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3949F148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06E" w14:textId="77777777" w:rsidR="0019442E" w:rsidRPr="0019442E" w:rsidRDefault="0019442E" w:rsidP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 Max MW Used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5D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REG_MAX_MW_USED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3D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CE7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3ED8D6F0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23CE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 xml:space="preserve">PJM-Assigned </w:t>
            </w:r>
            <w:proofErr w:type="spellStart"/>
            <w:r w:rsidRPr="0019442E">
              <w:rPr>
                <w:rFonts w:ascii="Arial" w:hAnsi="Arial" w:cs="Arial"/>
                <w:sz w:val="20"/>
                <w:szCs w:val="20"/>
              </w:rPr>
              <w:t>RegUp</w:t>
            </w:r>
            <w:proofErr w:type="spellEnd"/>
            <w:r w:rsidRPr="0019442E">
              <w:rPr>
                <w:rFonts w:ascii="Arial" w:hAnsi="Arial" w:cs="Arial"/>
                <w:sz w:val="20"/>
                <w:szCs w:val="20"/>
              </w:rPr>
              <w:t xml:space="preserve">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F12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PJM_ASSIGNED_REGUP_MW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B5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2340.68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4E5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64381583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58C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 xml:space="preserve">PJM-Assigned </w:t>
            </w:r>
            <w:proofErr w:type="spellStart"/>
            <w:r w:rsidRPr="0019442E">
              <w:rPr>
                <w:rFonts w:ascii="Arial" w:hAnsi="Arial" w:cs="Arial"/>
                <w:sz w:val="20"/>
                <w:szCs w:val="20"/>
              </w:rPr>
              <w:t>RegDn</w:t>
            </w:r>
            <w:proofErr w:type="spellEnd"/>
            <w:r w:rsidRPr="0019442E">
              <w:rPr>
                <w:rFonts w:ascii="Arial" w:hAnsi="Arial" w:cs="Arial"/>
                <w:sz w:val="20"/>
                <w:szCs w:val="20"/>
              </w:rPr>
              <w:t xml:space="preserve">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5F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PJM_ASSIGNED_REGDN_MW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0DB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2340.69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062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1A61D075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F58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Tracking Ramp Limit Desired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D5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TRLD_MW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64B" w14:textId="3C512FD1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2340.80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83D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2987BBEE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93E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Tracking Regulation Set Point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6F8" w14:textId="5F80D450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TRLD_</w:t>
            </w:r>
            <w:r w:rsidR="00074116">
              <w:rPr>
                <w:rFonts w:ascii="Arial" w:hAnsi="Arial" w:cs="Arial"/>
                <w:sz w:val="20"/>
                <w:szCs w:val="20"/>
              </w:rPr>
              <w:t>AS</w:t>
            </w:r>
            <w:r w:rsidRPr="0019442E">
              <w:rPr>
                <w:rFonts w:ascii="Arial" w:hAnsi="Arial" w:cs="Arial"/>
                <w:sz w:val="20"/>
                <w:szCs w:val="20"/>
              </w:rPr>
              <w:t>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A99" w14:textId="61B78D60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</w:t>
            </w:r>
            <w:r w:rsidR="0007411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364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480E6D76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2D1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RT LMP ($/MWh)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F1A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RT_LMP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D62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3000.25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77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65EACB04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81D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Begin Point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EFC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BEGIN_POINT_MW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323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2340.83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1EB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67F5366A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420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End Point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DC2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END_POINT_MW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5CD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2340.84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9A6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1DE92723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ACA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RT Energy Offer Amount ($)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202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RT_ENERGY_OFFER_AMT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4C69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3001.88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F24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432823FC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FE4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Shoulder Opportunity Cost ($)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DD1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SHLD_OPPORTUNITY_COST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969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2340.97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CDB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9442E" w14:paraId="3961B87A" w14:textId="77777777" w:rsidTr="0019442E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FFF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797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2BC" w14:textId="77777777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 w:rsidRPr="0019442E">
              <w:rPr>
                <w:rFonts w:ascii="Arial" w:hAnsi="Arial" w:cs="Arial"/>
                <w:sz w:val="20"/>
                <w:szCs w:val="20"/>
              </w:rPr>
              <w:t>4000.07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8E9" w14:textId="797DE805" w:rsidR="0019442E" w:rsidRPr="0019442E" w:rsidRDefault="00194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VARCHAR2(12)</w:t>
            </w:r>
          </w:p>
        </w:tc>
      </w:tr>
    </w:tbl>
    <w:p w14:paraId="6443223E" w14:textId="77777777" w:rsidR="0019442E" w:rsidRDefault="0019442E" w:rsidP="0019442E">
      <w:pPr>
        <w:tabs>
          <w:tab w:val="left" w:pos="5850"/>
        </w:tabs>
        <w:ind w:left="630" w:firstLine="90"/>
        <w:rPr>
          <w:rFonts w:ascii="Arial" w:hAnsi="Arial" w:cs="Arial"/>
          <w:sz w:val="20"/>
          <w:szCs w:val="20"/>
          <w:u w:val="single"/>
        </w:rPr>
      </w:pPr>
    </w:p>
    <w:p w14:paraId="787AF9B0" w14:textId="2B84B541" w:rsidR="0019442E" w:rsidRDefault="0019442E" w:rsidP="0019442E">
      <w:pPr>
        <w:tabs>
          <w:tab w:val="left" w:pos="5850"/>
        </w:tabs>
        <w:ind w:left="630" w:firstLine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Ramp In </w:t>
      </w:r>
      <w:r w:rsidRPr="007616DF">
        <w:rPr>
          <w:rFonts w:ascii="Arial" w:hAnsi="Arial" w:cs="Arial"/>
          <w:sz w:val="20"/>
          <w:szCs w:val="20"/>
          <w:u w:val="single"/>
        </w:rPr>
        <w:t>Indicator:</w:t>
      </w:r>
      <w:r w:rsidRPr="007616DF">
        <w:rPr>
          <w:rFonts w:ascii="Arial" w:hAnsi="Arial" w:cs="Arial"/>
          <w:sz w:val="20"/>
          <w:szCs w:val="20"/>
        </w:rPr>
        <w:t xml:space="preserve"> Y or N</w:t>
      </w:r>
    </w:p>
    <w:p w14:paraId="697DAEB7" w14:textId="4C123399" w:rsidR="007616DF" w:rsidRDefault="0019442E" w:rsidP="0019442E">
      <w:pPr>
        <w:tabs>
          <w:tab w:val="left" w:pos="5850"/>
        </w:tabs>
        <w:ind w:left="630" w:firstLine="9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Ramp Out Indicator</w:t>
      </w:r>
      <w:r w:rsidRPr="0019442E">
        <w:rPr>
          <w:rFonts w:ascii="Arial" w:hAnsi="Arial" w:cs="Arial"/>
          <w:sz w:val="20"/>
          <w:szCs w:val="20"/>
          <w:u w:val="single"/>
        </w:rPr>
        <w:t>:</w:t>
      </w:r>
      <w:r w:rsidRPr="0019442E">
        <w:rPr>
          <w:rFonts w:ascii="Arial" w:hAnsi="Arial" w:cs="Arial"/>
          <w:sz w:val="20"/>
          <w:szCs w:val="20"/>
        </w:rPr>
        <w:t xml:space="preserve"> Y or N</w:t>
      </w:r>
    </w:p>
    <w:bookmarkEnd w:id="0"/>
    <w:p w14:paraId="65F0FD0A" w14:textId="77777777" w:rsidR="003649A4" w:rsidRDefault="003649A4">
      <w:pPr>
        <w:pStyle w:val="Heading1"/>
      </w:pPr>
      <w:r>
        <w:t>CSV Report Example</w:t>
      </w:r>
    </w:p>
    <w:p w14:paraId="69285F64" w14:textId="039E377F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Excel file titled “</w:t>
      </w:r>
      <w:r w:rsidR="006937C2" w:rsidRPr="00A71889">
        <w:rPr>
          <w:rFonts w:ascii="Arial" w:hAnsi="Arial" w:cs="Arial"/>
          <w:sz w:val="20"/>
          <w:szCs w:val="20"/>
        </w:rPr>
        <w:t xml:space="preserve">Regulation </w:t>
      </w:r>
      <w:r w:rsidR="0019442E">
        <w:rPr>
          <w:rFonts w:ascii="Arial" w:hAnsi="Arial" w:cs="Arial"/>
          <w:sz w:val="20"/>
          <w:szCs w:val="20"/>
        </w:rPr>
        <w:t>Shoulder Opportunity Cost Details</w:t>
      </w:r>
      <w:r>
        <w:rPr>
          <w:rFonts w:ascii="Arial" w:hAnsi="Arial" w:cs="Arial"/>
          <w:sz w:val="20"/>
        </w:rPr>
        <w:t xml:space="preserve"> CSV Format.csv”</w:t>
      </w:r>
    </w:p>
    <w:p w14:paraId="4CE07BB5" w14:textId="77777777" w:rsidR="003649A4" w:rsidRDefault="003649A4">
      <w:pPr>
        <w:pStyle w:val="Heading1"/>
      </w:pPr>
      <w:r>
        <w:lastRenderedPageBreak/>
        <w:t>XML Report Example</w:t>
      </w:r>
    </w:p>
    <w:p w14:paraId="5AF6BCAC" w14:textId="5876AFD1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XML file titled “</w:t>
      </w:r>
      <w:r w:rsidR="0019442E" w:rsidRPr="00A71889">
        <w:rPr>
          <w:rFonts w:ascii="Arial" w:hAnsi="Arial" w:cs="Arial"/>
          <w:sz w:val="20"/>
          <w:szCs w:val="20"/>
        </w:rPr>
        <w:t xml:space="preserve">Regulation </w:t>
      </w:r>
      <w:r w:rsidR="0019442E">
        <w:rPr>
          <w:rFonts w:ascii="Arial" w:hAnsi="Arial" w:cs="Arial"/>
          <w:sz w:val="20"/>
          <w:szCs w:val="20"/>
        </w:rPr>
        <w:t>Shoulder Opportunity Cost Details</w:t>
      </w:r>
      <w:r w:rsidR="0019442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XML Format.xml”</w:t>
      </w:r>
    </w:p>
    <w:p w14:paraId="50828B85" w14:textId="31171EFD" w:rsidR="00A92A54" w:rsidRPr="00861D4E" w:rsidRDefault="003649A4" w:rsidP="00861D4E">
      <w:pPr>
        <w:pStyle w:val="Heading1"/>
      </w:pPr>
      <w:r>
        <w:t>Supporting Calculations</w:t>
      </w:r>
    </w:p>
    <w:p w14:paraId="58E1632D" w14:textId="5CA8E9AE" w:rsid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 xml:space="preserve">Reg Min </w:t>
      </w:r>
      <w:r w:rsidR="006030F2">
        <w:rPr>
          <w:rFonts w:ascii="Arial" w:hAnsi="Arial" w:cs="Arial"/>
          <w:sz w:val="20"/>
        </w:rPr>
        <w:t xml:space="preserve">MW Used </w:t>
      </w:r>
      <w:r w:rsidRPr="0019442E">
        <w:rPr>
          <w:rFonts w:ascii="Arial" w:hAnsi="Arial" w:cs="Arial"/>
          <w:sz w:val="20"/>
        </w:rPr>
        <w:t>= Max (Economic Min MW, Reg</w:t>
      </w:r>
      <w:r w:rsidR="00074116">
        <w:rPr>
          <w:rFonts w:ascii="Arial" w:hAnsi="Arial" w:cs="Arial"/>
          <w:sz w:val="20"/>
        </w:rPr>
        <w:t>ulation</w:t>
      </w:r>
      <w:r w:rsidRPr="0019442E">
        <w:rPr>
          <w:rFonts w:ascii="Arial" w:hAnsi="Arial" w:cs="Arial"/>
          <w:sz w:val="20"/>
        </w:rPr>
        <w:t xml:space="preserve"> Min MW) from the Regulating interval (EPT Interval Ending)</w:t>
      </w:r>
    </w:p>
    <w:p w14:paraId="0A83E203" w14:textId="3932939E" w:rsidR="00A83531" w:rsidRPr="0019442E" w:rsidRDefault="00A83531" w:rsidP="0019442E">
      <w:pPr>
        <w:pStyle w:val="NormalWeb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19442E">
        <w:rPr>
          <w:rFonts w:ascii="Arial" w:hAnsi="Arial" w:cs="Arial"/>
          <w:sz w:val="20"/>
          <w:szCs w:val="20"/>
        </w:rPr>
        <w:t>2340.78</w:t>
      </w:r>
      <w:r>
        <w:rPr>
          <w:rFonts w:ascii="Arial" w:hAnsi="Arial" w:cs="Arial"/>
          <w:sz w:val="20"/>
          <w:szCs w:val="20"/>
        </w:rPr>
        <w:t xml:space="preserve"> = Max (3002</w:t>
      </w:r>
      <w:r w:rsidRPr="002525E7">
        <w:rPr>
          <w:rFonts w:ascii="Arial" w:hAnsi="Arial" w:cs="Arial"/>
          <w:sz w:val="20"/>
          <w:szCs w:val="20"/>
        </w:rPr>
        <w:t xml:space="preserve">.22, </w:t>
      </w:r>
      <w:r w:rsidR="002525E7" w:rsidRPr="002525E7">
        <w:rPr>
          <w:rFonts w:ascii="Arial" w:hAnsi="Arial" w:cs="Arial"/>
          <w:sz w:val="20"/>
          <w:szCs w:val="20"/>
        </w:rPr>
        <w:t>3004.41</w:t>
      </w:r>
      <w:r w:rsidRPr="002525E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</w:rPr>
        <w:tab/>
      </w:r>
    </w:p>
    <w:p w14:paraId="47490ECF" w14:textId="0C38C9AA" w:rsid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 xml:space="preserve">Reg Max </w:t>
      </w:r>
      <w:r w:rsidR="006030F2">
        <w:rPr>
          <w:rFonts w:ascii="Arial" w:hAnsi="Arial" w:cs="Arial"/>
          <w:sz w:val="20"/>
        </w:rPr>
        <w:t>MW Used</w:t>
      </w:r>
      <w:r w:rsidRPr="0019442E">
        <w:rPr>
          <w:rFonts w:ascii="Arial" w:hAnsi="Arial" w:cs="Arial"/>
          <w:sz w:val="20"/>
        </w:rPr>
        <w:t xml:space="preserve"> = Min (Economic Max MW, Reg Max MW) from the Regulation interval (EPT Interval Ending)</w:t>
      </w:r>
    </w:p>
    <w:p w14:paraId="1209A590" w14:textId="1FC808F3" w:rsidR="00A83531" w:rsidRPr="0019442E" w:rsidRDefault="00A83531" w:rsidP="0019442E">
      <w:pPr>
        <w:pStyle w:val="NormalWeb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2340.79 = Min (3002.23</w:t>
      </w:r>
      <w:r w:rsidRPr="002525E7">
        <w:rPr>
          <w:rFonts w:ascii="Arial" w:hAnsi="Arial" w:cs="Arial"/>
          <w:sz w:val="20"/>
        </w:rPr>
        <w:t xml:space="preserve">, </w:t>
      </w:r>
      <w:r w:rsidR="002525E7" w:rsidRPr="002525E7">
        <w:rPr>
          <w:rFonts w:ascii="Arial" w:hAnsi="Arial" w:cs="Arial"/>
          <w:sz w:val="20"/>
        </w:rPr>
        <w:t>3004.42</w:t>
      </w:r>
      <w:r w:rsidRPr="002525E7">
        <w:rPr>
          <w:rFonts w:ascii="Arial" w:hAnsi="Arial" w:cs="Arial"/>
          <w:sz w:val="20"/>
        </w:rPr>
        <w:t>)</w:t>
      </w:r>
    </w:p>
    <w:p w14:paraId="4EAE4A2F" w14:textId="77777777" w:rsidR="002525E7" w:rsidRDefault="002525E7" w:rsidP="0019442E">
      <w:pPr>
        <w:pStyle w:val="NormalWeb"/>
        <w:ind w:left="450"/>
        <w:rPr>
          <w:rFonts w:ascii="Arial" w:hAnsi="Arial" w:cs="Arial"/>
          <w:sz w:val="20"/>
        </w:rPr>
      </w:pPr>
    </w:p>
    <w:p w14:paraId="5840017E" w14:textId="48446161" w:rsidR="0019442E" w:rsidRP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 xml:space="preserve">Tracking Ramp Limit Desired MW </w:t>
      </w:r>
      <w:r w:rsidR="00BC7386">
        <w:rPr>
          <w:rFonts w:ascii="Arial" w:hAnsi="Arial" w:cs="Arial"/>
          <w:sz w:val="20"/>
        </w:rPr>
        <w:t xml:space="preserve">(2340.80) </w:t>
      </w:r>
      <w:r w:rsidRPr="0019442E">
        <w:rPr>
          <w:rFonts w:ascii="Arial" w:hAnsi="Arial" w:cs="Arial"/>
          <w:sz w:val="20"/>
        </w:rPr>
        <w:t>is the Tracking Ramp Limit Desired MW from the Shoulder interval (EPT Shoulder Interval Ending)</w:t>
      </w:r>
    </w:p>
    <w:p w14:paraId="35628A2C" w14:textId="632AFE64" w:rsidR="0019442E" w:rsidRP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 xml:space="preserve">Tracking Regulation Set Point MW </w:t>
      </w:r>
      <w:r w:rsidR="00BC7386">
        <w:rPr>
          <w:rFonts w:ascii="Arial" w:hAnsi="Arial" w:cs="Arial"/>
          <w:sz w:val="20"/>
        </w:rPr>
        <w:t xml:space="preserve">(2340.81) </w:t>
      </w:r>
      <w:r w:rsidRPr="0019442E">
        <w:rPr>
          <w:rFonts w:ascii="Arial" w:hAnsi="Arial" w:cs="Arial"/>
          <w:sz w:val="20"/>
        </w:rPr>
        <w:t>is the Tracking Set Point MW from the Regulating interval (EPT Interval Ending)</w:t>
      </w:r>
    </w:p>
    <w:p w14:paraId="0F31AB61" w14:textId="77777777" w:rsidR="002525E7" w:rsidRDefault="002525E7" w:rsidP="0019442E">
      <w:pPr>
        <w:pStyle w:val="NormalWeb"/>
        <w:ind w:left="450"/>
        <w:rPr>
          <w:rFonts w:ascii="Arial" w:hAnsi="Arial" w:cs="Arial"/>
          <w:sz w:val="20"/>
        </w:rPr>
      </w:pPr>
    </w:p>
    <w:p w14:paraId="74C151A2" w14:textId="0F60C9FD" w:rsid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>Begin Point MW = Min (Tracking Ramp Limit Desired MW, Tracking Regulation Set Point MW)</w:t>
      </w:r>
    </w:p>
    <w:p w14:paraId="2F4B5B4F" w14:textId="2B65E017" w:rsidR="00A83531" w:rsidRPr="0019442E" w:rsidRDefault="00A83531" w:rsidP="0019442E">
      <w:pPr>
        <w:pStyle w:val="NormalWeb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2340.83 = Min (2340.80, </w:t>
      </w:r>
      <w:r w:rsidR="002525E7">
        <w:rPr>
          <w:rFonts w:ascii="Arial" w:hAnsi="Arial" w:cs="Arial"/>
          <w:sz w:val="20"/>
        </w:rPr>
        <w:t>2340.81)</w:t>
      </w:r>
    </w:p>
    <w:p w14:paraId="585C3ED9" w14:textId="7B901F49" w:rsid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>End Point MW = Max (Tracking Ramp Limit Desired MW, Tracking Regulation Set Point MW)</w:t>
      </w:r>
    </w:p>
    <w:p w14:paraId="5EE76C34" w14:textId="39F7566F" w:rsidR="00090F61" w:rsidRPr="0019442E" w:rsidRDefault="00090F61" w:rsidP="0019442E">
      <w:pPr>
        <w:pStyle w:val="NormalWeb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2340.84 = Max (2340.80,</w:t>
      </w:r>
      <w:r w:rsidR="002525E7">
        <w:rPr>
          <w:rFonts w:ascii="Arial" w:hAnsi="Arial" w:cs="Arial"/>
          <w:sz w:val="20"/>
        </w:rPr>
        <w:t xml:space="preserve"> 2340.81)</w:t>
      </w:r>
    </w:p>
    <w:p w14:paraId="35DF1837" w14:textId="7F1C2FB8" w:rsidR="0019442E" w:rsidRP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 xml:space="preserve">RT Energy Offer Amount </w:t>
      </w:r>
      <w:r w:rsidR="00BC7386">
        <w:rPr>
          <w:rFonts w:ascii="Arial" w:hAnsi="Arial" w:cs="Arial"/>
          <w:sz w:val="20"/>
        </w:rPr>
        <w:t xml:space="preserve">(3001.88) </w:t>
      </w:r>
      <w:r w:rsidRPr="0019442E">
        <w:rPr>
          <w:rFonts w:ascii="Arial" w:hAnsi="Arial" w:cs="Arial"/>
          <w:sz w:val="20"/>
        </w:rPr>
        <w:t xml:space="preserve">= Energy </w:t>
      </w:r>
      <w:proofErr w:type="gramStart"/>
      <w:r w:rsidRPr="0019442E">
        <w:rPr>
          <w:rFonts w:ascii="Arial" w:hAnsi="Arial" w:cs="Arial"/>
          <w:sz w:val="20"/>
        </w:rPr>
        <w:t>offer</w:t>
      </w:r>
      <w:proofErr w:type="gramEnd"/>
      <w:r w:rsidRPr="0019442E">
        <w:rPr>
          <w:rFonts w:ascii="Arial" w:hAnsi="Arial" w:cs="Arial"/>
          <w:sz w:val="20"/>
        </w:rPr>
        <w:t xml:space="preserve"> amount from the incremental energy </w:t>
      </w:r>
      <w:proofErr w:type="gramStart"/>
      <w:r w:rsidRPr="0019442E">
        <w:rPr>
          <w:rFonts w:ascii="Arial" w:hAnsi="Arial" w:cs="Arial"/>
          <w:sz w:val="20"/>
        </w:rPr>
        <w:t>offer</w:t>
      </w:r>
      <w:proofErr w:type="gramEnd"/>
      <w:r w:rsidRPr="0019442E">
        <w:rPr>
          <w:rFonts w:ascii="Arial" w:hAnsi="Arial" w:cs="Arial"/>
          <w:sz w:val="20"/>
        </w:rPr>
        <w:t xml:space="preserve"> for the unit's RT Schedule Id between the Begin Point MW and End Point MW</w:t>
      </w:r>
    </w:p>
    <w:p w14:paraId="1E1820F7" w14:textId="77777777" w:rsidR="002525E7" w:rsidRDefault="002525E7" w:rsidP="0019442E">
      <w:pPr>
        <w:pStyle w:val="NormalWeb"/>
        <w:ind w:left="450"/>
        <w:rPr>
          <w:rFonts w:ascii="Arial" w:hAnsi="Arial" w:cs="Arial"/>
          <w:sz w:val="20"/>
        </w:rPr>
      </w:pPr>
    </w:p>
    <w:p w14:paraId="79869AF6" w14:textId="2A5AEFCE" w:rsidR="0019442E" w:rsidRP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>If Tracking Ramp Limit Desired</w:t>
      </w:r>
      <w:r w:rsidR="00BC7386">
        <w:rPr>
          <w:rFonts w:ascii="Arial" w:hAnsi="Arial" w:cs="Arial"/>
          <w:sz w:val="20"/>
        </w:rPr>
        <w:t xml:space="preserve"> MW</w:t>
      </w:r>
      <w:r w:rsidRPr="0019442E">
        <w:rPr>
          <w:rFonts w:ascii="Arial" w:hAnsi="Arial" w:cs="Arial"/>
          <w:sz w:val="20"/>
        </w:rPr>
        <w:t xml:space="preserve"> </w:t>
      </w:r>
      <w:r w:rsidR="00BC7386">
        <w:rPr>
          <w:rFonts w:ascii="Arial" w:hAnsi="Arial" w:cs="Arial"/>
          <w:sz w:val="20"/>
        </w:rPr>
        <w:t xml:space="preserve">(2340.80) </w:t>
      </w:r>
      <w:r w:rsidRPr="0019442E">
        <w:rPr>
          <w:rFonts w:ascii="Arial" w:hAnsi="Arial" w:cs="Arial"/>
          <w:sz w:val="20"/>
        </w:rPr>
        <w:t xml:space="preserve">&gt;= Reg Max </w:t>
      </w:r>
      <w:r w:rsidR="00BC7386">
        <w:rPr>
          <w:rFonts w:ascii="Arial" w:hAnsi="Arial" w:cs="Arial"/>
          <w:sz w:val="20"/>
        </w:rPr>
        <w:t>MW Used (2340.79)</w:t>
      </w:r>
    </w:p>
    <w:p w14:paraId="12EAABBD" w14:textId="0463D7B7" w:rsid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>    Shoulder Opportunity Cost</w:t>
      </w:r>
      <w:r w:rsidR="00BC7386">
        <w:rPr>
          <w:rFonts w:ascii="Arial" w:hAnsi="Arial" w:cs="Arial"/>
          <w:sz w:val="20"/>
        </w:rPr>
        <w:t xml:space="preserve"> ($)</w:t>
      </w:r>
      <w:r w:rsidRPr="0019442E">
        <w:rPr>
          <w:rFonts w:ascii="Arial" w:hAnsi="Arial" w:cs="Arial"/>
          <w:sz w:val="20"/>
        </w:rPr>
        <w:t xml:space="preserve"> = </w:t>
      </w:r>
      <w:proofErr w:type="gramStart"/>
      <w:r w:rsidRPr="0019442E">
        <w:rPr>
          <w:rFonts w:ascii="Arial" w:hAnsi="Arial" w:cs="Arial"/>
          <w:sz w:val="20"/>
        </w:rPr>
        <w:t>Max</w:t>
      </w:r>
      <w:r w:rsidR="002525E7">
        <w:rPr>
          <w:rFonts w:ascii="Arial" w:hAnsi="Arial" w:cs="Arial"/>
          <w:sz w:val="20"/>
        </w:rPr>
        <w:t xml:space="preserve"> {</w:t>
      </w:r>
      <w:r w:rsidRPr="0019442E">
        <w:rPr>
          <w:rFonts w:ascii="Arial" w:hAnsi="Arial" w:cs="Arial"/>
          <w:sz w:val="20"/>
        </w:rPr>
        <w:t>(</w:t>
      </w:r>
      <w:proofErr w:type="gramEnd"/>
      <w:r w:rsidRPr="0019442E">
        <w:rPr>
          <w:rFonts w:ascii="Arial" w:hAnsi="Arial" w:cs="Arial"/>
          <w:sz w:val="20"/>
        </w:rPr>
        <w:t>RT LMP * (End Point MW - Begin Point MW)) - RT Energy Offer Amount, 0</w:t>
      </w:r>
      <w:r w:rsidR="002525E7">
        <w:rPr>
          <w:rFonts w:ascii="Arial" w:hAnsi="Arial" w:cs="Arial"/>
          <w:sz w:val="20"/>
        </w:rPr>
        <w:t>}</w:t>
      </w:r>
    </w:p>
    <w:p w14:paraId="0BCE10C5" w14:textId="53F210BA" w:rsidR="00090F61" w:rsidRPr="0019442E" w:rsidRDefault="00090F61" w:rsidP="0019442E">
      <w:pPr>
        <w:pStyle w:val="NormalWeb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2340.97 = Max </w:t>
      </w:r>
      <w:r w:rsidR="002525E7">
        <w:rPr>
          <w:rFonts w:ascii="Arial" w:hAnsi="Arial" w:cs="Arial"/>
          <w:sz w:val="20"/>
        </w:rPr>
        <w:t>{</w:t>
      </w:r>
      <w:r>
        <w:rPr>
          <w:rFonts w:ascii="Arial" w:hAnsi="Arial" w:cs="Arial"/>
          <w:sz w:val="20"/>
        </w:rPr>
        <w:t>(3000.25 * (2340.84 – 2340.83)) – 3001.88, 0</w:t>
      </w:r>
      <w:r w:rsidR="002525E7">
        <w:rPr>
          <w:rFonts w:ascii="Arial" w:hAnsi="Arial" w:cs="Arial"/>
          <w:sz w:val="20"/>
        </w:rPr>
        <w:t>}</w:t>
      </w:r>
    </w:p>
    <w:p w14:paraId="40005A04" w14:textId="2C9E789B" w:rsidR="0019442E" w:rsidRP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lastRenderedPageBreak/>
        <w:t xml:space="preserve">Else If Tracking Ramp Limit Desired </w:t>
      </w:r>
      <w:r w:rsidR="00BC7386">
        <w:rPr>
          <w:rFonts w:ascii="Arial" w:hAnsi="Arial" w:cs="Arial"/>
          <w:sz w:val="20"/>
        </w:rPr>
        <w:t xml:space="preserve">MW (2340.80) </w:t>
      </w:r>
      <w:r w:rsidRPr="0019442E">
        <w:rPr>
          <w:rFonts w:ascii="Arial" w:hAnsi="Arial" w:cs="Arial"/>
          <w:sz w:val="20"/>
        </w:rPr>
        <w:t>&lt;= Reg Min MW</w:t>
      </w:r>
      <w:r w:rsidR="00BC7386">
        <w:rPr>
          <w:rFonts w:ascii="Arial" w:hAnsi="Arial" w:cs="Arial"/>
          <w:sz w:val="20"/>
        </w:rPr>
        <w:t xml:space="preserve"> Used (2340.78) </w:t>
      </w:r>
    </w:p>
    <w:p w14:paraId="15FF28D8" w14:textId="77D66461" w:rsid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>    Shoulder Opportunity Cost</w:t>
      </w:r>
      <w:r w:rsidR="00BC7386">
        <w:rPr>
          <w:rFonts w:ascii="Arial" w:hAnsi="Arial" w:cs="Arial"/>
          <w:sz w:val="20"/>
        </w:rPr>
        <w:t xml:space="preserve"> ($)</w:t>
      </w:r>
      <w:r w:rsidRPr="0019442E">
        <w:rPr>
          <w:rFonts w:ascii="Arial" w:hAnsi="Arial" w:cs="Arial"/>
          <w:sz w:val="20"/>
        </w:rPr>
        <w:t xml:space="preserve"> = </w:t>
      </w:r>
      <w:proofErr w:type="gramStart"/>
      <w:r w:rsidRPr="0019442E">
        <w:rPr>
          <w:rFonts w:ascii="Arial" w:hAnsi="Arial" w:cs="Arial"/>
          <w:sz w:val="20"/>
        </w:rPr>
        <w:t>Max</w:t>
      </w:r>
      <w:r w:rsidR="002525E7">
        <w:rPr>
          <w:rFonts w:ascii="Arial" w:hAnsi="Arial" w:cs="Arial"/>
          <w:sz w:val="20"/>
        </w:rPr>
        <w:t xml:space="preserve"> {</w:t>
      </w:r>
      <w:r w:rsidRPr="0019442E">
        <w:rPr>
          <w:rFonts w:ascii="Arial" w:hAnsi="Arial" w:cs="Arial"/>
          <w:sz w:val="20"/>
        </w:rPr>
        <w:t>(</w:t>
      </w:r>
      <w:proofErr w:type="gramEnd"/>
      <w:r w:rsidRPr="0019442E">
        <w:rPr>
          <w:rFonts w:ascii="Arial" w:hAnsi="Arial" w:cs="Arial"/>
          <w:sz w:val="20"/>
        </w:rPr>
        <w:t>RT Energy Offer Amount - (RT LMP * (End Point MW - Begin Point MW)), 0</w:t>
      </w:r>
      <w:r w:rsidR="002525E7">
        <w:rPr>
          <w:rFonts w:ascii="Arial" w:hAnsi="Arial" w:cs="Arial"/>
          <w:sz w:val="20"/>
        </w:rPr>
        <w:t>}</w:t>
      </w:r>
    </w:p>
    <w:p w14:paraId="61A62C98" w14:textId="5A4F080E" w:rsidR="00090F61" w:rsidRPr="0019442E" w:rsidRDefault="00090F61" w:rsidP="0019442E">
      <w:pPr>
        <w:pStyle w:val="NormalWeb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2340.97 = Max </w:t>
      </w:r>
      <w:r w:rsidR="002525E7">
        <w:rPr>
          <w:rFonts w:ascii="Arial" w:hAnsi="Arial" w:cs="Arial"/>
          <w:sz w:val="20"/>
        </w:rPr>
        <w:t>{</w:t>
      </w:r>
      <w:r>
        <w:rPr>
          <w:rFonts w:ascii="Arial" w:hAnsi="Arial" w:cs="Arial"/>
          <w:sz w:val="20"/>
        </w:rPr>
        <w:t>(3001.88 – (3000.25 * (2340.84 – 2340.83)), 0</w:t>
      </w:r>
      <w:r w:rsidR="002525E7">
        <w:rPr>
          <w:rFonts w:ascii="Arial" w:hAnsi="Arial" w:cs="Arial"/>
          <w:sz w:val="20"/>
        </w:rPr>
        <w:t>}</w:t>
      </w:r>
    </w:p>
    <w:p w14:paraId="2B41F013" w14:textId="791066C3" w:rsidR="0019442E" w:rsidRPr="0019442E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>Else</w:t>
      </w:r>
    </w:p>
    <w:p w14:paraId="1EE829BF" w14:textId="024A3E9D" w:rsidR="006937C2" w:rsidRDefault="0019442E" w:rsidP="0019442E">
      <w:pPr>
        <w:pStyle w:val="NormalWeb"/>
        <w:ind w:left="450"/>
        <w:rPr>
          <w:rFonts w:ascii="Arial" w:hAnsi="Arial" w:cs="Arial"/>
          <w:sz w:val="20"/>
        </w:rPr>
      </w:pPr>
      <w:r w:rsidRPr="0019442E">
        <w:rPr>
          <w:rFonts w:ascii="Arial" w:hAnsi="Arial" w:cs="Arial"/>
          <w:sz w:val="20"/>
        </w:rPr>
        <w:t>     Shoulder Opportunity Cost</w:t>
      </w:r>
      <w:r w:rsidR="00BC7386">
        <w:rPr>
          <w:rFonts w:ascii="Arial" w:hAnsi="Arial" w:cs="Arial"/>
          <w:sz w:val="20"/>
        </w:rPr>
        <w:t xml:space="preserve"> ($)</w:t>
      </w:r>
      <w:r w:rsidRPr="0019442E">
        <w:rPr>
          <w:rFonts w:ascii="Arial" w:hAnsi="Arial" w:cs="Arial"/>
          <w:sz w:val="20"/>
        </w:rPr>
        <w:t xml:space="preserve"> = 0 </w:t>
      </w:r>
    </w:p>
    <w:p w14:paraId="49EEB637" w14:textId="466A1E11" w:rsidR="00090F61" w:rsidRDefault="00090F61" w:rsidP="0019442E">
      <w:pPr>
        <w:pStyle w:val="NormalWeb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2340.97 = 0</w:t>
      </w:r>
    </w:p>
    <w:sectPr w:rsidR="00090F61">
      <w:headerReference w:type="default" r:id="rId10"/>
      <w:footerReference w:type="default" r:id="rId11"/>
      <w:footerReference w:type="first" r:id="rId12"/>
      <w:pgSz w:w="15840" w:h="12240" w:orient="landscape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A615" w14:textId="77777777" w:rsidR="00CE6D71" w:rsidRDefault="00CE6D71">
      <w:r>
        <w:separator/>
      </w:r>
    </w:p>
  </w:endnote>
  <w:endnote w:type="continuationSeparator" w:id="0">
    <w:p w14:paraId="1E488D24" w14:textId="77777777" w:rsidR="00CE6D71" w:rsidRDefault="00CE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AE33" w14:textId="77777777" w:rsidR="003649A4" w:rsidRDefault="003649A4">
    <w:pPr>
      <w:pStyle w:val="Footer"/>
      <w:jc w:val="center"/>
      <w:rPr>
        <w:rStyle w:val="PageNumber"/>
      </w:rPr>
    </w:pPr>
  </w:p>
  <w:p w14:paraId="3270DB08" w14:textId="41B32380" w:rsidR="003649A4" w:rsidRDefault="003649A4">
    <w:pPr>
      <w:pStyle w:val="Footer"/>
    </w:pPr>
    <w:r>
      <w:rPr>
        <w:rFonts w:ascii="Arial" w:hAnsi="Arial"/>
        <w:sz w:val="20"/>
        <w:szCs w:val="20"/>
      </w:rPr>
      <w:t>PJM ©20</w:t>
    </w:r>
    <w:r w:rsidR="00E73D8F">
      <w:rPr>
        <w:rFonts w:ascii="Arial" w:hAnsi="Arial"/>
        <w:sz w:val="20"/>
        <w:szCs w:val="20"/>
      </w:rPr>
      <w:t>2</w:t>
    </w:r>
    <w:r w:rsidR="002525E7">
      <w:rPr>
        <w:rFonts w:ascii="Arial" w:hAnsi="Arial"/>
        <w:sz w:val="20"/>
        <w:szCs w:val="20"/>
      </w:rPr>
      <w:t>6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4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6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E021" w14:textId="5FBC0488" w:rsidR="003649A4" w:rsidRDefault="003649A4">
    <w:pPr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P</w:t>
    </w:r>
    <w:r w:rsidR="00994D7C">
      <w:rPr>
        <w:rFonts w:ascii="Arial" w:hAnsi="Arial"/>
        <w:sz w:val="20"/>
        <w:szCs w:val="20"/>
      </w:rPr>
      <w:t>JM ©20</w:t>
    </w:r>
    <w:r w:rsidR="00A71889">
      <w:rPr>
        <w:rFonts w:ascii="Arial" w:hAnsi="Arial"/>
        <w:sz w:val="20"/>
        <w:szCs w:val="20"/>
      </w:rPr>
      <w:t>2</w:t>
    </w:r>
    <w:r w:rsidR="002525E7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1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6</w:t>
    </w:r>
    <w:r>
      <w:rPr>
        <w:rStyle w:val="PageNumber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E1B1" w14:textId="77777777" w:rsidR="00CE6D71" w:rsidRDefault="00CE6D71">
      <w:r>
        <w:separator/>
      </w:r>
    </w:p>
  </w:footnote>
  <w:footnote w:type="continuationSeparator" w:id="0">
    <w:p w14:paraId="1A899B8B" w14:textId="77777777" w:rsidR="00CE6D71" w:rsidRDefault="00CE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948"/>
      <w:gridCol w:w="5940"/>
    </w:tblGrid>
    <w:tr w:rsidR="003649A4" w14:paraId="25EE1DDA" w14:textId="77777777">
      <w:tc>
        <w:tcPr>
          <w:tcW w:w="6948" w:type="dxa"/>
        </w:tcPr>
        <w:p w14:paraId="34010300" w14:textId="6A66720A" w:rsidR="003649A4" w:rsidRDefault="00331B90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ECBAB1F" wp14:editId="5CBD6F5F">
                <wp:extent cx="676275" cy="25717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49A4">
            <w:t xml:space="preserve">  </w:t>
          </w:r>
        </w:p>
      </w:tc>
      <w:tc>
        <w:tcPr>
          <w:tcW w:w="5940" w:type="dxa"/>
        </w:tcPr>
        <w:p w14:paraId="25DCE29B" w14:textId="77777777" w:rsidR="003649A4" w:rsidRDefault="003649A4">
          <w:pPr>
            <w:pStyle w:val="Header"/>
            <w:jc w:val="right"/>
          </w:pPr>
          <w:r>
            <w:rPr>
              <w:rFonts w:ascii="Arial" w:hAnsi="Arial" w:cs="Arial"/>
            </w:rPr>
            <w:t>MSRS Report Format Documentation</w:t>
          </w:r>
        </w:p>
      </w:tc>
    </w:tr>
  </w:tbl>
  <w:p w14:paraId="3AFC059B" w14:textId="77777777" w:rsidR="003649A4" w:rsidRDefault="00364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00A"/>
    <w:multiLevelType w:val="multilevel"/>
    <w:tmpl w:val="CD0012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DCE04E6"/>
    <w:multiLevelType w:val="multilevel"/>
    <w:tmpl w:val="CCC2E726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91031542">
    <w:abstractNumId w:val="0"/>
  </w:num>
  <w:num w:numId="2" w16cid:durableId="551231549">
    <w:abstractNumId w:val="0"/>
    <w:lvlOverride w:ilvl="0">
      <w:startOverride w:val="1"/>
    </w:lvlOverride>
  </w:num>
  <w:num w:numId="3" w16cid:durableId="12690062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7bc78875-de1c-463c-ba24-2af7cf978c0a"/>
  </w:docVars>
  <w:rsids>
    <w:rsidRoot w:val="006E75D0"/>
    <w:rsid w:val="000158D3"/>
    <w:rsid w:val="00036776"/>
    <w:rsid w:val="0003730C"/>
    <w:rsid w:val="00052844"/>
    <w:rsid w:val="000567DE"/>
    <w:rsid w:val="00067CC3"/>
    <w:rsid w:val="00074116"/>
    <w:rsid w:val="00090F61"/>
    <w:rsid w:val="00091B4F"/>
    <w:rsid w:val="00092C06"/>
    <w:rsid w:val="000A5021"/>
    <w:rsid w:val="000E46CC"/>
    <w:rsid w:val="0010116D"/>
    <w:rsid w:val="0010414D"/>
    <w:rsid w:val="00116A81"/>
    <w:rsid w:val="00120D6C"/>
    <w:rsid w:val="001419A1"/>
    <w:rsid w:val="00144C32"/>
    <w:rsid w:val="00173524"/>
    <w:rsid w:val="00176F6B"/>
    <w:rsid w:val="0019442E"/>
    <w:rsid w:val="001A5A91"/>
    <w:rsid w:val="001B1F5C"/>
    <w:rsid w:val="001D1E70"/>
    <w:rsid w:val="001D5D54"/>
    <w:rsid w:val="001E383C"/>
    <w:rsid w:val="001F10FE"/>
    <w:rsid w:val="00214AC8"/>
    <w:rsid w:val="00232EB5"/>
    <w:rsid w:val="00241756"/>
    <w:rsid w:val="002525E7"/>
    <w:rsid w:val="00276465"/>
    <w:rsid w:val="00281222"/>
    <w:rsid w:val="002919D2"/>
    <w:rsid w:val="002923E8"/>
    <w:rsid w:val="002A45DA"/>
    <w:rsid w:val="002B1440"/>
    <w:rsid w:val="002B3982"/>
    <w:rsid w:val="002E4A9C"/>
    <w:rsid w:val="002E592B"/>
    <w:rsid w:val="00324600"/>
    <w:rsid w:val="003311E8"/>
    <w:rsid w:val="00331B90"/>
    <w:rsid w:val="003649A4"/>
    <w:rsid w:val="0036639F"/>
    <w:rsid w:val="0037013F"/>
    <w:rsid w:val="003B3ECC"/>
    <w:rsid w:val="003D1EF6"/>
    <w:rsid w:val="003F212E"/>
    <w:rsid w:val="003F2842"/>
    <w:rsid w:val="00437099"/>
    <w:rsid w:val="004463EE"/>
    <w:rsid w:val="004522DF"/>
    <w:rsid w:val="00457EEB"/>
    <w:rsid w:val="00492F7A"/>
    <w:rsid w:val="004A47D0"/>
    <w:rsid w:val="004A554C"/>
    <w:rsid w:val="004C7E96"/>
    <w:rsid w:val="004E11F7"/>
    <w:rsid w:val="004E4650"/>
    <w:rsid w:val="00513519"/>
    <w:rsid w:val="005135EB"/>
    <w:rsid w:val="005214ED"/>
    <w:rsid w:val="00522496"/>
    <w:rsid w:val="00551DD4"/>
    <w:rsid w:val="00580304"/>
    <w:rsid w:val="005A2000"/>
    <w:rsid w:val="005B3501"/>
    <w:rsid w:val="005E3B06"/>
    <w:rsid w:val="005F21B7"/>
    <w:rsid w:val="005F25FC"/>
    <w:rsid w:val="005F5725"/>
    <w:rsid w:val="005F677A"/>
    <w:rsid w:val="006030F2"/>
    <w:rsid w:val="00603887"/>
    <w:rsid w:val="00614C48"/>
    <w:rsid w:val="00632FA5"/>
    <w:rsid w:val="0064028E"/>
    <w:rsid w:val="006430C9"/>
    <w:rsid w:val="006625E1"/>
    <w:rsid w:val="00681423"/>
    <w:rsid w:val="006937C2"/>
    <w:rsid w:val="006B576E"/>
    <w:rsid w:val="006E75D0"/>
    <w:rsid w:val="00725FD3"/>
    <w:rsid w:val="007335BA"/>
    <w:rsid w:val="00741CC7"/>
    <w:rsid w:val="00751326"/>
    <w:rsid w:val="007616DF"/>
    <w:rsid w:val="007630B7"/>
    <w:rsid w:val="007F2ECF"/>
    <w:rsid w:val="00816584"/>
    <w:rsid w:val="00826D0E"/>
    <w:rsid w:val="00830EC6"/>
    <w:rsid w:val="00840980"/>
    <w:rsid w:val="00861D4E"/>
    <w:rsid w:val="008A7869"/>
    <w:rsid w:val="008B0979"/>
    <w:rsid w:val="008C03EF"/>
    <w:rsid w:val="008C7754"/>
    <w:rsid w:val="008F5D09"/>
    <w:rsid w:val="00901706"/>
    <w:rsid w:val="00993988"/>
    <w:rsid w:val="00994D7C"/>
    <w:rsid w:val="009B5D3D"/>
    <w:rsid w:val="009E4F1C"/>
    <w:rsid w:val="009F247A"/>
    <w:rsid w:val="00A42ED5"/>
    <w:rsid w:val="00A53800"/>
    <w:rsid w:val="00A56A2E"/>
    <w:rsid w:val="00A67D73"/>
    <w:rsid w:val="00A71889"/>
    <w:rsid w:val="00A83531"/>
    <w:rsid w:val="00A92A54"/>
    <w:rsid w:val="00AA2B9E"/>
    <w:rsid w:val="00AB2B7E"/>
    <w:rsid w:val="00AE7550"/>
    <w:rsid w:val="00AF575E"/>
    <w:rsid w:val="00B0495B"/>
    <w:rsid w:val="00B36EA3"/>
    <w:rsid w:val="00B61D50"/>
    <w:rsid w:val="00BB2F93"/>
    <w:rsid w:val="00BC7386"/>
    <w:rsid w:val="00BE7264"/>
    <w:rsid w:val="00C17A99"/>
    <w:rsid w:val="00C4028A"/>
    <w:rsid w:val="00C73C4F"/>
    <w:rsid w:val="00C95A7B"/>
    <w:rsid w:val="00CA4172"/>
    <w:rsid w:val="00CE6D71"/>
    <w:rsid w:val="00D04235"/>
    <w:rsid w:val="00D4373E"/>
    <w:rsid w:val="00D62E18"/>
    <w:rsid w:val="00D85E5D"/>
    <w:rsid w:val="00DA38CA"/>
    <w:rsid w:val="00DB4C35"/>
    <w:rsid w:val="00DF620D"/>
    <w:rsid w:val="00E02A6F"/>
    <w:rsid w:val="00E0764D"/>
    <w:rsid w:val="00E141F3"/>
    <w:rsid w:val="00E206EF"/>
    <w:rsid w:val="00E44503"/>
    <w:rsid w:val="00E550BF"/>
    <w:rsid w:val="00E63303"/>
    <w:rsid w:val="00E73D8F"/>
    <w:rsid w:val="00E766DA"/>
    <w:rsid w:val="00F0028D"/>
    <w:rsid w:val="00F12C00"/>
    <w:rsid w:val="00F46C63"/>
    <w:rsid w:val="00F51811"/>
    <w:rsid w:val="00F55094"/>
    <w:rsid w:val="00F74AF8"/>
    <w:rsid w:val="00FB4B55"/>
    <w:rsid w:val="00FD3540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99511"/>
  <w15:chartTrackingRefBased/>
  <w15:docId w15:val="{D79FC4A6-CA57-4899-998D-845CF90C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before="360" w:after="360"/>
    </w:pPr>
    <w:rPr>
      <w:b/>
      <w:bCs/>
      <w:caps/>
      <w:szCs w:val="26"/>
      <w:u w:val="single"/>
    </w:rPr>
  </w:style>
  <w:style w:type="paragraph" w:styleId="TOC2">
    <w:name w:val="toc 2"/>
    <w:basedOn w:val="Normal"/>
    <w:next w:val="Normal"/>
    <w:autoRedefine/>
    <w:semiHidden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Pr>
      <w:smallCaps/>
      <w:szCs w:val="26"/>
    </w:rPr>
  </w:style>
  <w:style w:type="paragraph" w:styleId="TOC4">
    <w:name w:val="toc 4"/>
    <w:basedOn w:val="Normal"/>
    <w:next w:val="Normal"/>
    <w:autoRedefine/>
    <w:semiHidden/>
    <w:rPr>
      <w:szCs w:val="26"/>
    </w:rPr>
  </w:style>
  <w:style w:type="paragraph" w:styleId="TOC5">
    <w:name w:val="toc 5"/>
    <w:basedOn w:val="Normal"/>
    <w:next w:val="Normal"/>
    <w:autoRedefine/>
    <w:semiHidden/>
    <w:rPr>
      <w:szCs w:val="26"/>
    </w:rPr>
  </w:style>
  <w:style w:type="paragraph" w:styleId="TOC6">
    <w:name w:val="toc 6"/>
    <w:basedOn w:val="Normal"/>
    <w:next w:val="Normal"/>
    <w:autoRedefine/>
    <w:semiHidden/>
    <w:rPr>
      <w:szCs w:val="26"/>
    </w:rPr>
  </w:style>
  <w:style w:type="paragraph" w:styleId="TOC7">
    <w:name w:val="toc 7"/>
    <w:basedOn w:val="Normal"/>
    <w:next w:val="Normal"/>
    <w:autoRedefine/>
    <w:semiHidden/>
    <w:rPr>
      <w:szCs w:val="26"/>
    </w:rPr>
  </w:style>
  <w:style w:type="paragraph" w:styleId="TOC8">
    <w:name w:val="toc 8"/>
    <w:basedOn w:val="Normal"/>
    <w:next w:val="Normal"/>
    <w:autoRedefine/>
    <w:semiHidden/>
    <w:rPr>
      <w:szCs w:val="26"/>
    </w:rPr>
  </w:style>
  <w:style w:type="paragraph" w:styleId="TOC9">
    <w:name w:val="toc 9"/>
    <w:basedOn w:val="Normal"/>
    <w:next w:val="Normal"/>
    <w:autoRedefine/>
    <w:semiHidden/>
    <w:rPr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">
    <w:name w:val="Body Text"/>
    <w:basedOn w:val="Normal"/>
    <w:pPr>
      <w:spacing w:after="120"/>
    </w:pPr>
  </w:style>
  <w:style w:type="paragraph" w:styleId="NormalIndent">
    <w:name w:val="Normal Indent"/>
    <w:basedOn w:val="Normal"/>
    <w:pPr>
      <w:widowControl w:val="0"/>
      <w:spacing w:line="240" w:lineRule="atLeast"/>
      <w:ind w:left="900" w:hanging="900"/>
    </w:pPr>
    <w:rPr>
      <w:sz w:val="20"/>
      <w:szCs w:val="20"/>
    </w:rPr>
  </w:style>
  <w:style w:type="character" w:customStyle="1" w:styleId="BodyTextChar">
    <w:name w:val="Body Text Char"/>
    <w:rPr>
      <w:sz w:val="24"/>
      <w:szCs w:val="24"/>
      <w:lang w:val="en-US" w:eastAsia="en-US" w:bidi="ar-SA"/>
    </w:rPr>
  </w:style>
  <w:style w:type="character" w:customStyle="1" w:styleId="Heading1Char">
    <w:name w:val="Heading 1 Char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CharChar">
    <w:name w:val="Body Text Char Char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Pr>
      <w:b/>
      <w:bCs/>
    </w:rPr>
  </w:style>
  <w:style w:type="paragraph" w:customStyle="1" w:styleId="BulletList">
    <w:name w:val="Bullet List"/>
    <w:basedOn w:val="Heading1"/>
    <w:autoRedefine/>
    <w:pPr>
      <w:numPr>
        <w:numId w:val="3"/>
      </w:numPr>
      <w:ind w:left="360" w:firstLine="0"/>
    </w:pPr>
    <w:rPr>
      <w:b w:val="0"/>
      <w:kern w:val="0"/>
      <w:sz w:val="20"/>
      <w:szCs w:val="20"/>
    </w:rPr>
  </w:style>
  <w:style w:type="paragraph" w:customStyle="1" w:styleId="PJMFormulaCentered">
    <w:name w:val="PJM_Formula + Centered"/>
    <w:basedOn w:val="Normal"/>
    <w:pPr>
      <w:spacing w:after="120"/>
      <w:jc w:val="center"/>
    </w:pPr>
    <w:rPr>
      <w:rFonts w:ascii="Arial" w:hAnsi="Arial"/>
      <w:i/>
      <w:sz w:val="20"/>
    </w:rPr>
  </w:style>
  <w:style w:type="paragraph" w:customStyle="1" w:styleId="TableParagraph">
    <w:name w:val="Table Paragraph"/>
    <w:basedOn w:val="Normal"/>
    <w:uiPriority w:val="1"/>
    <w:qFormat/>
    <w:rsid w:val="004C7E96"/>
    <w:pPr>
      <w:spacing w:line="227" w:lineRule="exact"/>
      <w:ind w:left="107"/>
    </w:pPr>
  </w:style>
  <w:style w:type="paragraph" w:styleId="Revision">
    <w:name w:val="Revision"/>
    <w:hidden/>
    <w:uiPriority w:val="99"/>
    <w:semiHidden/>
    <w:rsid w:val="00FD354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71889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5F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725"/>
    <w:rPr>
      <w:b/>
      <w:bCs/>
    </w:rPr>
  </w:style>
  <w:style w:type="character" w:styleId="Strong">
    <w:name w:val="Strong"/>
    <w:uiPriority w:val="22"/>
    <w:qFormat/>
    <w:rsid w:val="00D0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3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3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1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4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1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10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6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34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5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172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23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425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00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93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36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22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784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2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4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91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83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4593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049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846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20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45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8164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1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56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8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D6A1-B4C2-4FF8-933A-63319BFF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Oxygen Consulting, LLC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DISCIN</dc:creator>
  <cp:keywords/>
  <dc:description/>
  <cp:lastModifiedBy>Coyne, Suzanne R.</cp:lastModifiedBy>
  <cp:revision>8</cp:revision>
  <cp:lastPrinted>2012-10-16T18:54:00Z</cp:lastPrinted>
  <dcterms:created xsi:type="dcterms:W3CDTF">2026-05-11T04:18:00Z</dcterms:created>
  <dcterms:modified xsi:type="dcterms:W3CDTF">2026-05-12T15:05:00Z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37be2d-9a50-473d-b372-9d2e4491f364_Enabled">
    <vt:lpwstr>true</vt:lpwstr>
  </property>
  <property fmtid="{D5CDD505-2E9C-101B-9397-08002B2CF9AE}" pid="3" name="MSIP_Label_4b37be2d-9a50-473d-b372-9d2e4491f364_SetDate">
    <vt:lpwstr>2026-05-08T18:57:29Z</vt:lpwstr>
  </property>
  <property fmtid="{D5CDD505-2E9C-101B-9397-08002B2CF9AE}" pid="4" name="MSIP_Label_4b37be2d-9a50-473d-b372-9d2e4491f364_Method">
    <vt:lpwstr>Standard</vt:lpwstr>
  </property>
  <property fmtid="{D5CDD505-2E9C-101B-9397-08002B2CF9AE}" pid="5" name="MSIP_Label_4b37be2d-9a50-473d-b372-9d2e4491f364_Name">
    <vt:lpwstr>Confidential - PJM Personnel Only</vt:lpwstr>
  </property>
  <property fmtid="{D5CDD505-2E9C-101B-9397-08002B2CF9AE}" pid="6" name="MSIP_Label_4b37be2d-9a50-473d-b372-9d2e4491f364_SiteId">
    <vt:lpwstr>2ca508d6-9abf-4628-bb63-2a491e2be6f9</vt:lpwstr>
  </property>
  <property fmtid="{D5CDD505-2E9C-101B-9397-08002B2CF9AE}" pid="7" name="MSIP_Label_4b37be2d-9a50-473d-b372-9d2e4491f364_ActionId">
    <vt:lpwstr>3224edc0-0621-4d13-bf16-0fdd5d93fca9</vt:lpwstr>
  </property>
  <property fmtid="{D5CDD505-2E9C-101B-9397-08002B2CF9AE}" pid="8" name="MSIP_Label_4b37be2d-9a50-473d-b372-9d2e4491f364_ContentBits">
    <vt:lpwstr>0</vt:lpwstr>
  </property>
  <property fmtid="{D5CDD505-2E9C-101B-9397-08002B2CF9AE}" pid="9" name="MSIP_Label_4b37be2d-9a50-473d-b372-9d2e4491f364_Tag">
    <vt:lpwstr>10, 3, 0, 1</vt:lpwstr>
  </property>
</Properties>
</file>