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096D19" w:rsidP="00755096">
      <w:pPr>
        <w:pStyle w:val="MeetingDetails"/>
      </w:pPr>
      <w:bookmarkStart w:id="0" w:name="_GoBack"/>
      <w:bookmarkEnd w:id="0"/>
      <w:r w:rsidRPr="00096D19">
        <w:t>Capacity Interconnection Rights for ELCC Resources</w:t>
      </w:r>
    </w:p>
    <w:p w:rsidR="00B62597" w:rsidRPr="00B62597" w:rsidP="00755096">
      <w:pPr>
        <w:pStyle w:val="MeetingDetails"/>
      </w:pPr>
      <w:r>
        <w:t>WebEx Only</w:t>
      </w:r>
    </w:p>
    <w:p w:rsidR="00B62597" w:rsidRPr="00B62597" w:rsidP="00755096">
      <w:pPr>
        <w:pStyle w:val="MeetingDetails"/>
      </w:pPr>
      <w:r>
        <w:t>June 22</w:t>
      </w:r>
      <w:r w:rsidR="002B2F98">
        <w:t xml:space="preserve">, </w:t>
      </w:r>
      <w:r w:rsidR="0006798D">
        <w:t>2021</w:t>
      </w:r>
    </w:p>
    <w:p w:rsidR="00B62597" w:rsidRPr="00B62597" w:rsidP="00755096">
      <w:pPr>
        <w:pStyle w:val="MeetingDetails"/>
        <w:rPr>
          <w:sz w:val="28"/>
          <w:u w:val="single"/>
        </w:rPr>
      </w:pPr>
      <w:r>
        <w:t>9</w:t>
      </w:r>
      <w:r w:rsidR="002B2F98">
        <w:t xml:space="preserve">:00 </w:t>
      </w:r>
      <w:r w:rsidR="00010057">
        <w:t>a</w:t>
      </w:r>
      <w:r w:rsidR="002B2F98">
        <w:t xml:space="preserve">.m. – </w:t>
      </w:r>
      <w:r>
        <w:t>12</w:t>
      </w:r>
      <w:r w:rsidR="00010057">
        <w:t>:00 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096D19">
        <w:t>9</w:t>
      </w:r>
      <w:r w:rsidRPr="00527104">
        <w:t>:00-</w:t>
      </w:r>
      <w:r w:rsidR="00096D19">
        <w:t>9</w:t>
      </w:r>
      <w:r w:rsidRPr="00527104">
        <w:t>:</w:t>
      </w:r>
      <w:r w:rsidR="00096D19">
        <w:t>10</w:t>
      </w:r>
      <w:r w:rsidRPr="00527104">
        <w:t>)</w:t>
      </w:r>
    </w:p>
    <w:bookmarkEnd w:id="1"/>
    <w:bookmarkEnd w:id="2"/>
    <w:p w:rsidR="00B62597" w:rsidRPr="00096D19" w:rsidP="00096D19">
      <w:pPr>
        <w:pStyle w:val="SecondaryHeading-Numbered"/>
        <w:rPr>
          <w:b w:val="0"/>
        </w:rPr>
      </w:pPr>
      <w:r w:rsidRPr="00096D19">
        <w:rPr>
          <w:b w:val="0"/>
        </w:rPr>
        <w:t>Dan Bennett, PJM, will provide announcements; review the Antitrust, Code of Conduct, Public Meetings/Media Participation, and the WebEx Participant Identification Requirement.</w:t>
      </w:r>
    </w:p>
    <w:p w:rsidR="001D3B68" w:rsidRPr="00DB29E9" w:rsidP="007C2954">
      <w:pPr>
        <w:pStyle w:val="PrimaryHeading"/>
      </w:pPr>
      <w:r>
        <w:t>Education</w:t>
      </w:r>
      <w:r>
        <w:t xml:space="preserve"> (</w:t>
      </w:r>
      <w:r w:rsidR="00307B59">
        <w:t>9</w:t>
      </w:r>
      <w:r>
        <w:t>:</w:t>
      </w:r>
      <w:r w:rsidR="00307B59">
        <w:t>1</w:t>
      </w:r>
      <w:r>
        <w:t>0-</w:t>
      </w:r>
      <w:r w:rsidR="00307B59">
        <w:t>1</w:t>
      </w:r>
      <w:r>
        <w:t>0:00)</w:t>
      </w:r>
    </w:p>
    <w:p w:rsidR="00B62597" w:rsidRPr="00307B59" w:rsidP="00307B59">
      <w:pPr>
        <w:pStyle w:val="SecondaryHeading-Numbered"/>
        <w:rPr>
          <w:b w:val="0"/>
        </w:rPr>
      </w:pPr>
      <w:r>
        <w:rPr>
          <w:b w:val="0"/>
        </w:rPr>
        <w:t>Jonathan Kern, PJM, will provide follow-up education on how deliverability of a resource’s capacity and energy components are examined.</w:t>
      </w:r>
    </w:p>
    <w:p w:rsidR="001D3B68" w:rsidP="007C2954">
      <w:pPr>
        <w:pStyle w:val="PrimaryHeading"/>
      </w:pPr>
      <w:r>
        <w:t xml:space="preserve">CBIR Process </w:t>
      </w:r>
      <w:r>
        <w:t>(</w:t>
      </w:r>
      <w:r w:rsidR="00307B59">
        <w:t>1</w:t>
      </w:r>
      <w:r>
        <w:t>0:00-</w:t>
      </w:r>
      <w:r w:rsidR="00307B59">
        <w:t>12</w:t>
      </w:r>
      <w:r>
        <w:t>:00</w:t>
      </w:r>
      <w:r w:rsidRPr="00DB29E9">
        <w:t>)</w:t>
      </w:r>
    </w:p>
    <w:p w:rsidR="001B2242" w:rsidP="002F34C1">
      <w:pPr>
        <w:pStyle w:val="SecondaryHeading-Numbered"/>
        <w:rPr>
          <w:b w:val="0"/>
        </w:rPr>
      </w:pPr>
      <w:r>
        <w:rPr>
          <w:b w:val="0"/>
        </w:rPr>
        <w:t>Scott Baker, PJM, will review the identified fundamental that define the purpose and role of CIRs as related to Key Work Activity #3</w:t>
      </w:r>
      <w:r w:rsidR="00AC2AE3">
        <w:rPr>
          <w:b w:val="0"/>
        </w:rPr>
        <w:t xml:space="preserve"> and solicit stakeholder feedback.</w:t>
      </w:r>
    </w:p>
    <w:p w:rsidR="002B6602" w:rsidP="001B2242">
      <w:pPr>
        <w:pStyle w:val="SecondaryHeading-Numbered"/>
        <w:rPr>
          <w:b w:val="0"/>
        </w:rPr>
      </w:pPr>
      <w:r>
        <w:rPr>
          <w:b w:val="0"/>
        </w:rPr>
        <w:t>Scott Baker, PJM, will review changes to the design components and status quo in the options matrix based on stakeholder feedback during the May meeting.</w:t>
      </w:r>
    </w:p>
    <w:p w:rsidR="002F34C1" w:rsidP="001B2242">
      <w:pPr>
        <w:pStyle w:val="SecondaryHeading-Numbered"/>
        <w:rPr>
          <w:b w:val="0"/>
        </w:rPr>
      </w:pPr>
      <w:r>
        <w:rPr>
          <w:b w:val="0"/>
        </w:rPr>
        <w:t xml:space="preserve">PJM </w:t>
      </w:r>
      <w:r w:rsidR="00AC2AE3">
        <w:rPr>
          <w:b w:val="0"/>
        </w:rPr>
        <w:t>will introduce an initial set of solution options.</w:t>
      </w:r>
    </w:p>
    <w:p w:rsidR="002F34C1" w:rsidRPr="001B2242" w:rsidP="001B2242">
      <w:pPr>
        <w:pStyle w:val="SecondaryHeading-Numbered"/>
        <w:rPr>
          <w:b w:val="0"/>
        </w:rPr>
      </w:pPr>
      <w:r>
        <w:rPr>
          <w:b w:val="0"/>
        </w:rPr>
        <w:t xml:space="preserve">Scott Baker, PJM, will </w:t>
      </w:r>
      <w:r w:rsidR="00AC2AE3">
        <w:rPr>
          <w:b w:val="0"/>
        </w:rPr>
        <w:t>lead a discussion on additional solutions options</w:t>
      </w:r>
      <w:r w:rsidR="002B6602">
        <w:rPr>
          <w:b w:val="0"/>
        </w:rPr>
        <w:t xml:space="preserve"> and next steps</w:t>
      </w:r>
      <w:r w:rsidR="00AC2AE3">
        <w:rPr>
          <w:b w:val="0"/>
        </w:rPr>
        <w:t>.</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Pr>
                <w:b/>
              </w:rPr>
              <w:t>Future Agenda Items</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D7613">
            <w:pPr>
              <w:pStyle w:val="AttendeesList"/>
            </w:pPr>
          </w:p>
          <w:p w:rsidR="003C3320" w:rsidP="009D7613">
            <w:pPr>
              <w:pStyle w:val="AttendeesList"/>
            </w:pP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96"/>
        <w:gridCol w:w="1014"/>
        <w:gridCol w:w="3330"/>
        <w:gridCol w:w="1710"/>
        <w:gridCol w:w="1635"/>
      </w:tblGrid>
      <w:tr w:rsidTr="007B0B0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71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103052"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63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7B0B06">
        <w:tblPrEx>
          <w:tblW w:w="0" w:type="auto"/>
          <w:tblLook w:val="04A0"/>
        </w:tblPrEx>
        <w:trPr>
          <w:trHeight w:val="296"/>
        </w:trPr>
        <w:tc>
          <w:tcPr>
            <w:tcW w:w="159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01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333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71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63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7B0B06">
        <w:tblPrEx>
          <w:tblW w:w="0" w:type="auto"/>
          <w:tblLook w:val="04A0"/>
        </w:tblPrEx>
        <w:trPr>
          <w:trHeight w:val="331"/>
        </w:trPr>
        <w:tc>
          <w:tcPr>
            <w:tcW w:w="1596" w:type="dxa"/>
            <w:tcBorders>
              <w:top w:val="single" w:sz="6" w:space="0" w:color="FFFFFF" w:themeColor="background1"/>
              <w:bottom w:val="single" w:sz="4" w:space="0" w:color="auto"/>
              <w:right w:val="single" w:sz="4" w:space="0" w:color="auto"/>
            </w:tcBorders>
            <w:shd w:val="clear" w:color="auto" w:fill="E1F6FF"/>
            <w:vAlign w:val="center"/>
          </w:tcPr>
          <w:p w:rsidR="00DF1112" w:rsidRPr="00BB6921" w:rsidP="007B0B06">
            <w:pPr>
              <w:pStyle w:val="DisclaimerHeading"/>
              <w:spacing w:before="40" w:after="40" w:line="220" w:lineRule="exact"/>
              <w:jc w:val="center"/>
              <w:rPr>
                <w:b w:val="0"/>
                <w:i w:val="0"/>
                <w:color w:val="auto"/>
                <w:sz w:val="18"/>
                <w:szCs w:val="18"/>
              </w:rPr>
            </w:pPr>
            <w:r>
              <w:rPr>
                <w:b w:val="0"/>
                <w:i w:val="0"/>
                <w:color w:val="auto"/>
                <w:sz w:val="18"/>
                <w:szCs w:val="18"/>
              </w:rPr>
              <w:t>July 22, 2021</w:t>
            </w:r>
          </w:p>
        </w:tc>
        <w:tc>
          <w:tcPr>
            <w:tcW w:w="1014" w:type="dxa"/>
            <w:tcBorders>
              <w:top w:val="single" w:sz="6" w:space="0" w:color="FFFFFF" w:themeColor="background1"/>
              <w:left w:val="single" w:sz="4" w:space="0" w:color="auto"/>
              <w:bottom w:val="single" w:sz="4" w:space="0" w:color="auto"/>
              <w:right w:val="single" w:sz="8"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9:00 a.m.</w:t>
            </w:r>
          </w:p>
        </w:tc>
        <w:tc>
          <w:tcPr>
            <w:tcW w:w="3330" w:type="dxa"/>
            <w:tcBorders>
              <w:top w:val="single" w:sz="6" w:space="0" w:color="FFFFFF" w:themeColor="background1"/>
              <w:left w:val="single" w:sz="8" w:space="0" w:color="auto"/>
              <w:bottom w:val="single" w:sz="4" w:space="0" w:color="auto"/>
              <w:right w:val="single" w:sz="8" w:space="0" w:color="auto"/>
            </w:tcBorders>
            <w:vAlign w:val="center"/>
          </w:tcPr>
          <w:p w:rsidR="00DF1112" w:rsidRPr="00C10A93" w:rsidP="007B0B06">
            <w:pPr>
              <w:pStyle w:val="AttendeesList"/>
              <w:spacing w:before="40" w:after="40" w:line="220" w:lineRule="exact"/>
              <w:jc w:val="center"/>
              <w:rPr>
                <w:szCs w:val="18"/>
              </w:rPr>
            </w:pPr>
            <w:r>
              <w:rPr>
                <w:szCs w:val="18"/>
              </w:rPr>
              <w:t>WebEx</w:t>
            </w:r>
          </w:p>
        </w:tc>
        <w:tc>
          <w:tcPr>
            <w:tcW w:w="1710" w:type="dxa"/>
            <w:tcBorders>
              <w:top w:val="single" w:sz="6" w:space="0" w:color="FFFFFF" w:themeColor="background1"/>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July 14, 2021</w:t>
            </w:r>
          </w:p>
        </w:tc>
        <w:tc>
          <w:tcPr>
            <w:tcW w:w="1635" w:type="dxa"/>
            <w:tcBorders>
              <w:top w:val="single" w:sz="6" w:space="0" w:color="FFFFFF" w:themeColor="background1"/>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July 19, 2021</w:t>
            </w: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DF1112" w:rsidRPr="00BB6921" w:rsidP="007B0B06">
            <w:pPr>
              <w:pStyle w:val="DisclaimerHeading"/>
              <w:spacing w:before="40" w:after="40" w:line="220" w:lineRule="exact"/>
              <w:jc w:val="center"/>
              <w:rPr>
                <w:b w:val="0"/>
                <w:i w:val="0"/>
                <w:color w:val="auto"/>
                <w:sz w:val="18"/>
                <w:szCs w:val="18"/>
              </w:rPr>
            </w:pPr>
            <w:r>
              <w:rPr>
                <w:b w:val="0"/>
                <w:i w:val="0"/>
                <w:color w:val="auto"/>
                <w:sz w:val="18"/>
                <w:szCs w:val="18"/>
              </w:rPr>
              <w:t>August 13, 2021</w:t>
            </w:r>
          </w:p>
        </w:tc>
        <w:tc>
          <w:tcPr>
            <w:tcW w:w="1014" w:type="dxa"/>
            <w:tcBorders>
              <w:top w:val="single" w:sz="4" w:space="0" w:color="auto"/>
              <w:left w:val="single" w:sz="4" w:space="0" w:color="auto"/>
              <w:bottom w:val="single" w:sz="4" w:space="0" w:color="auto"/>
              <w:right w:val="single" w:sz="8"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1:00 p.m.</w:t>
            </w:r>
          </w:p>
        </w:tc>
        <w:tc>
          <w:tcPr>
            <w:tcW w:w="3330" w:type="dxa"/>
            <w:tcBorders>
              <w:top w:val="single" w:sz="4" w:space="0" w:color="auto"/>
              <w:left w:val="single" w:sz="8" w:space="0" w:color="auto"/>
              <w:bottom w:val="single" w:sz="4" w:space="0" w:color="auto"/>
              <w:right w:val="single" w:sz="8" w:space="0" w:color="auto"/>
            </w:tcBorders>
            <w:vAlign w:val="center"/>
          </w:tcPr>
          <w:p w:rsidR="00DF1112" w:rsidRPr="00C10A93" w:rsidP="007B0B06">
            <w:pPr>
              <w:pStyle w:val="AttendeesList"/>
              <w:spacing w:before="40" w:after="40" w:line="220" w:lineRule="exact"/>
              <w:jc w:val="center"/>
              <w:rPr>
                <w:szCs w:val="18"/>
              </w:rPr>
            </w:pPr>
            <w:r>
              <w:rPr>
                <w:szCs w:val="18"/>
              </w:rPr>
              <w:t>WebEx</w:t>
            </w:r>
          </w:p>
        </w:tc>
        <w:tc>
          <w:tcPr>
            <w:tcW w:w="1710" w:type="dxa"/>
            <w:tcBorders>
              <w:top w:val="single" w:sz="4" w:space="0" w:color="auto"/>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August 5, 2021</w:t>
            </w:r>
          </w:p>
        </w:tc>
        <w:tc>
          <w:tcPr>
            <w:tcW w:w="1635" w:type="dxa"/>
            <w:tcBorders>
              <w:top w:val="single" w:sz="4" w:space="0" w:color="auto"/>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August 10, 2021</w:t>
            </w: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DF1112" w:rsidRPr="00BB6921" w:rsidP="007B0B06">
            <w:pPr>
              <w:pStyle w:val="DisclaimerHeading"/>
              <w:spacing w:before="40" w:after="40" w:line="220" w:lineRule="exact"/>
              <w:jc w:val="center"/>
              <w:rPr>
                <w:b w:val="0"/>
                <w:i w:val="0"/>
                <w:color w:val="auto"/>
                <w:sz w:val="18"/>
                <w:szCs w:val="18"/>
              </w:rPr>
            </w:pPr>
            <w:r>
              <w:rPr>
                <w:b w:val="0"/>
                <w:i w:val="0"/>
                <w:color w:val="auto"/>
                <w:sz w:val="18"/>
                <w:szCs w:val="18"/>
              </w:rPr>
              <w:t>September 21, 2021</w:t>
            </w:r>
          </w:p>
        </w:tc>
        <w:tc>
          <w:tcPr>
            <w:tcW w:w="1014" w:type="dxa"/>
            <w:tcBorders>
              <w:top w:val="single" w:sz="4" w:space="0" w:color="auto"/>
              <w:left w:val="single" w:sz="4" w:space="0" w:color="auto"/>
              <w:bottom w:val="single" w:sz="4" w:space="0" w:color="auto"/>
              <w:right w:val="single" w:sz="8"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9:00 a.m.</w:t>
            </w:r>
          </w:p>
        </w:tc>
        <w:tc>
          <w:tcPr>
            <w:tcW w:w="3330" w:type="dxa"/>
            <w:tcBorders>
              <w:top w:val="single" w:sz="4" w:space="0" w:color="auto"/>
              <w:left w:val="single" w:sz="8" w:space="0" w:color="auto"/>
              <w:bottom w:val="single" w:sz="4" w:space="0" w:color="auto"/>
              <w:right w:val="single" w:sz="8"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WebEx</w:t>
            </w:r>
          </w:p>
        </w:tc>
        <w:tc>
          <w:tcPr>
            <w:tcW w:w="1710" w:type="dxa"/>
            <w:tcBorders>
              <w:top w:val="single" w:sz="4" w:space="0" w:color="auto"/>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September 13, 2021</w:t>
            </w:r>
          </w:p>
        </w:tc>
        <w:tc>
          <w:tcPr>
            <w:tcW w:w="1635" w:type="dxa"/>
            <w:tcBorders>
              <w:top w:val="single" w:sz="4" w:space="0" w:color="auto"/>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b w:val="0"/>
                <w:color w:val="auto"/>
                <w:sz w:val="18"/>
                <w:szCs w:val="18"/>
              </w:rPr>
            </w:pPr>
            <w:r>
              <w:rPr>
                <w:b w:val="0"/>
                <w:color w:val="auto"/>
                <w:sz w:val="18"/>
                <w:szCs w:val="18"/>
              </w:rPr>
              <w:t>September 16, 2021</w:t>
            </w: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DF1112" w:rsidRPr="00BB6921" w:rsidP="007B0B06">
            <w:pPr>
              <w:pStyle w:val="DisclaimerHeading"/>
              <w:spacing w:before="40" w:after="40" w:line="220" w:lineRule="exact"/>
              <w:jc w:val="center"/>
              <w:rPr>
                <w:b w:val="0"/>
                <w:i w:val="0"/>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DF1112" w:rsidRPr="00C10A93" w:rsidP="007B0B06">
            <w:pPr>
              <w:pStyle w:val="DisclaimerHeading"/>
              <w:spacing w:before="40" w:after="40" w:line="220" w:lineRule="exact"/>
              <w:jc w:val="center"/>
              <w:rPr>
                <w:b w:val="0"/>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DF1112" w:rsidRPr="00C10A93" w:rsidP="007B0B06">
            <w:pPr>
              <w:pStyle w:val="DisclaimerHeading"/>
              <w:spacing w:before="40" w:after="40" w:line="220" w:lineRule="exact"/>
              <w:jc w:val="center"/>
              <w:rPr>
                <w:b w:val="0"/>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b w:val="0"/>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b w:val="0"/>
                <w:color w:val="auto"/>
                <w:sz w:val="18"/>
                <w:szCs w:val="18"/>
              </w:rPr>
            </w:pPr>
          </w:p>
        </w:tc>
      </w:tr>
      <w:tr w:rsidTr="007B0B06">
        <w:tblPrEx>
          <w:tblW w:w="0" w:type="auto"/>
          <w:tblLook w:val="04A0"/>
        </w:tblPrEx>
        <w:trPr>
          <w:trHeight w:val="331"/>
        </w:trPr>
        <w:tc>
          <w:tcPr>
            <w:tcW w:w="1596" w:type="dxa"/>
            <w:tcBorders>
              <w:top w:val="single" w:sz="4" w:space="0" w:color="auto"/>
              <w:bottom w:val="single" w:sz="4" w:space="0" w:color="auto"/>
              <w:right w:val="single" w:sz="4" w:space="0" w:color="auto"/>
            </w:tcBorders>
            <w:shd w:val="clear" w:color="auto" w:fill="E1F6FF"/>
            <w:vAlign w:val="center"/>
          </w:tcPr>
          <w:p w:rsidR="00DF1112" w:rsidRPr="0055010D" w:rsidP="007B0B06">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bottom w:val="single" w:sz="4" w:space="0" w:color="auto"/>
              <w:right w:val="single" w:sz="8" w:space="0" w:color="auto"/>
            </w:tcBorders>
            <w:vAlign w:val="center"/>
          </w:tcPr>
          <w:p w:rsidR="00DF1112" w:rsidRPr="00C10A93" w:rsidP="007B0B06">
            <w:pPr>
              <w:pStyle w:val="DisclaimerHeading"/>
              <w:spacing w:before="40" w:after="40" w:line="220" w:lineRule="exact"/>
              <w:jc w:val="center"/>
              <w:rPr>
                <w:color w:val="auto"/>
                <w:sz w:val="18"/>
                <w:szCs w:val="18"/>
              </w:rPr>
            </w:pPr>
          </w:p>
        </w:tc>
        <w:tc>
          <w:tcPr>
            <w:tcW w:w="3330" w:type="dxa"/>
            <w:tcBorders>
              <w:top w:val="single" w:sz="4" w:space="0" w:color="auto"/>
              <w:left w:val="single" w:sz="8" w:space="0" w:color="auto"/>
              <w:bottom w:val="single" w:sz="4" w:space="0" w:color="auto"/>
              <w:right w:val="single" w:sz="8" w:space="0" w:color="auto"/>
            </w:tcBorders>
            <w:vAlign w:val="center"/>
          </w:tcPr>
          <w:p w:rsidR="00DF1112" w:rsidRPr="00C10A93" w:rsidP="007B0B06">
            <w:pPr>
              <w:pStyle w:val="DisclaimerHeading"/>
              <w:spacing w:before="40" w:after="40" w:line="220" w:lineRule="exact"/>
              <w:jc w:val="center"/>
              <w:rPr>
                <w:color w:val="auto"/>
                <w:sz w:val="18"/>
                <w:szCs w:val="18"/>
              </w:rPr>
            </w:pPr>
          </w:p>
        </w:tc>
        <w:tc>
          <w:tcPr>
            <w:tcW w:w="1710" w:type="dxa"/>
            <w:tcBorders>
              <w:top w:val="single" w:sz="4" w:space="0" w:color="auto"/>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color w:val="auto"/>
                <w:sz w:val="18"/>
                <w:szCs w:val="18"/>
              </w:rPr>
            </w:pPr>
          </w:p>
        </w:tc>
        <w:tc>
          <w:tcPr>
            <w:tcW w:w="1635" w:type="dxa"/>
            <w:tcBorders>
              <w:top w:val="single" w:sz="4" w:space="0" w:color="auto"/>
              <w:left w:val="single" w:sz="4" w:space="0" w:color="auto"/>
              <w:bottom w:val="single" w:sz="4" w:space="0" w:color="auto"/>
              <w:right w:val="single" w:sz="4" w:space="0" w:color="auto"/>
            </w:tcBorders>
            <w:vAlign w:val="center"/>
          </w:tcPr>
          <w:p w:rsidR="00DF1112" w:rsidRPr="00C10A93" w:rsidP="007B0B06">
            <w:pPr>
              <w:pStyle w:val="DisclaimerHeading"/>
              <w:spacing w:before="40" w:after="40" w:line="220" w:lineRule="exact"/>
              <w:jc w:val="center"/>
              <w:rPr>
                <w:color w:val="auto"/>
                <w:sz w:val="18"/>
                <w:szCs w:val="18"/>
              </w:rPr>
            </w:pPr>
          </w:p>
        </w:tc>
      </w:tr>
      <w:tr w:rsidTr="007B0B06">
        <w:tblPrEx>
          <w:tblW w:w="0" w:type="auto"/>
          <w:tblLook w:val="04A0"/>
        </w:tblPrEx>
        <w:trPr>
          <w:trHeight w:val="331"/>
        </w:trPr>
        <w:tc>
          <w:tcPr>
            <w:tcW w:w="1596" w:type="dxa"/>
            <w:tcBorders>
              <w:top w:val="single" w:sz="4" w:space="0" w:color="auto"/>
              <w:right w:val="single" w:sz="4" w:space="0" w:color="auto"/>
            </w:tcBorders>
            <w:shd w:val="clear" w:color="auto" w:fill="E1F6FF"/>
            <w:vAlign w:val="center"/>
          </w:tcPr>
          <w:p w:rsidR="00DF1112" w:rsidRPr="0055010D" w:rsidP="007B0B06">
            <w:pPr>
              <w:pStyle w:val="DisclaimerHeading"/>
              <w:spacing w:before="40" w:after="40" w:line="220" w:lineRule="exact"/>
              <w:jc w:val="center"/>
              <w:rPr>
                <w:color w:val="auto"/>
                <w:sz w:val="18"/>
                <w:szCs w:val="18"/>
              </w:rPr>
            </w:pPr>
          </w:p>
        </w:tc>
        <w:tc>
          <w:tcPr>
            <w:tcW w:w="1014" w:type="dxa"/>
            <w:tcBorders>
              <w:top w:val="single" w:sz="4" w:space="0" w:color="auto"/>
              <w:left w:val="single" w:sz="4" w:space="0" w:color="auto"/>
              <w:right w:val="single" w:sz="8" w:space="0" w:color="auto"/>
            </w:tcBorders>
            <w:vAlign w:val="center"/>
          </w:tcPr>
          <w:p w:rsidR="00DF1112" w:rsidRPr="00C10A93" w:rsidP="007B0B06">
            <w:pPr>
              <w:pStyle w:val="DisclaimerHeading"/>
              <w:spacing w:before="40" w:after="40" w:line="220" w:lineRule="exact"/>
              <w:jc w:val="center"/>
              <w:rPr>
                <w:color w:val="auto"/>
                <w:sz w:val="18"/>
                <w:szCs w:val="18"/>
              </w:rPr>
            </w:pPr>
          </w:p>
        </w:tc>
        <w:tc>
          <w:tcPr>
            <w:tcW w:w="3330" w:type="dxa"/>
            <w:tcBorders>
              <w:top w:val="single" w:sz="4" w:space="0" w:color="auto"/>
              <w:left w:val="single" w:sz="8" w:space="0" w:color="auto"/>
              <w:right w:val="single" w:sz="8" w:space="0" w:color="auto"/>
            </w:tcBorders>
            <w:vAlign w:val="center"/>
          </w:tcPr>
          <w:p w:rsidR="00DF1112" w:rsidRPr="00C10A93" w:rsidP="007B0B06">
            <w:pPr>
              <w:pStyle w:val="DisclaimerHeading"/>
              <w:spacing w:before="40" w:after="40" w:line="220" w:lineRule="exact"/>
              <w:jc w:val="center"/>
              <w:rPr>
                <w:color w:val="auto"/>
                <w:sz w:val="18"/>
                <w:szCs w:val="18"/>
              </w:rPr>
            </w:pPr>
          </w:p>
        </w:tc>
        <w:tc>
          <w:tcPr>
            <w:tcW w:w="1710" w:type="dxa"/>
            <w:tcBorders>
              <w:top w:val="single" w:sz="4" w:space="0" w:color="auto"/>
              <w:left w:val="single" w:sz="4" w:space="0" w:color="auto"/>
              <w:right w:val="single" w:sz="4" w:space="0" w:color="auto"/>
            </w:tcBorders>
            <w:vAlign w:val="center"/>
          </w:tcPr>
          <w:p w:rsidR="00DF1112" w:rsidRPr="00C10A93" w:rsidP="007B0B06">
            <w:pPr>
              <w:pStyle w:val="DisclaimerHeading"/>
              <w:spacing w:before="40" w:after="40" w:line="220" w:lineRule="exact"/>
              <w:jc w:val="center"/>
              <w:rPr>
                <w:color w:val="auto"/>
                <w:sz w:val="18"/>
                <w:szCs w:val="18"/>
              </w:rPr>
            </w:pPr>
          </w:p>
        </w:tc>
        <w:tc>
          <w:tcPr>
            <w:tcW w:w="1635" w:type="dxa"/>
            <w:tcBorders>
              <w:top w:val="single" w:sz="4" w:space="0" w:color="auto"/>
              <w:left w:val="single" w:sz="4" w:space="0" w:color="auto"/>
              <w:right w:val="single" w:sz="4" w:space="0" w:color="auto"/>
            </w:tcBorders>
            <w:vAlign w:val="center"/>
          </w:tcPr>
          <w:p w:rsidR="00DF1112" w:rsidRPr="00C10A93" w:rsidP="007B0B06">
            <w:pPr>
              <w:pStyle w:val="DisclaimerHeading"/>
              <w:spacing w:before="40" w:after="40" w:line="220" w:lineRule="exact"/>
              <w:jc w:val="center"/>
              <w:rPr>
                <w:color w:val="auto"/>
                <w:sz w:val="18"/>
                <w:szCs w:val="18"/>
              </w:rPr>
            </w:pPr>
          </w:p>
        </w:tc>
      </w:tr>
    </w:tbl>
    <w:p w:rsidR="003C3320" w:rsidP="003C3320">
      <w:pPr>
        <w:pStyle w:val="DisclaimerBodyCopy"/>
      </w:pPr>
    </w:p>
    <w:p w:rsidR="003C3320" w:rsidP="003C3320">
      <w:pPr>
        <w:pStyle w:val="DisclaimerBodyCopy"/>
      </w:pPr>
    </w:p>
    <w:p w:rsidR="003C3320" w:rsidP="003C3320">
      <w:pPr>
        <w:pStyle w:val="DisclaimerBodyCopy"/>
        <w:rPr>
          <w:sz w:val="24"/>
        </w:rPr>
      </w:pPr>
      <w:r>
        <w:br w:type="page"/>
      </w:r>
    </w:p>
    <w:p w:rsidR="00B62597" w:rsidP="00337321">
      <w:pPr>
        <w:pStyle w:val="Author"/>
      </w:pPr>
      <w:r>
        <w:t xml:space="preserve">Author: </w:t>
      </w:r>
      <w:r w:rsidR="00010057">
        <w:t>Name</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208422"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84900"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63696">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 </w:t>
    </w:r>
    <w:r w:rsidRPr="00856DF8" w:rsidR="000232DF">
      <w:rPr>
        <w:rFonts w:ascii="Arial Narrow" w:hAnsi="Arial Narrow"/>
        <w:b/>
        <w:sz w:val="20"/>
      </w:rPr>
      <w:t>Confidential:</w:t>
    </w:r>
    <w:r w:rsidR="000232DF">
      <w:rPr>
        <w:rFonts w:ascii="Arial Narrow" w:hAnsi="Arial Narrow"/>
        <w:sz w:val="20"/>
      </w:rPr>
      <w:t xml:space="preserve"> Limited External Use [Insert Audience]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80183"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096D19">
      <w:t>June 18,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A6E"/>
    <w:rsid w:val="00010057"/>
    <w:rsid w:val="000232DF"/>
    <w:rsid w:val="00027F49"/>
    <w:rsid w:val="000333FF"/>
    <w:rsid w:val="0006798D"/>
    <w:rsid w:val="00092135"/>
    <w:rsid w:val="00096D19"/>
    <w:rsid w:val="00117AF9"/>
    <w:rsid w:val="00121F58"/>
    <w:rsid w:val="001678E8"/>
    <w:rsid w:val="001B2242"/>
    <w:rsid w:val="001C0CC0"/>
    <w:rsid w:val="001D3B68"/>
    <w:rsid w:val="002113BD"/>
    <w:rsid w:val="0025139E"/>
    <w:rsid w:val="0027172F"/>
    <w:rsid w:val="002B2F98"/>
    <w:rsid w:val="002B6602"/>
    <w:rsid w:val="002C6057"/>
    <w:rsid w:val="002F34C1"/>
    <w:rsid w:val="00305238"/>
    <w:rsid w:val="00307B59"/>
    <w:rsid w:val="003251CE"/>
    <w:rsid w:val="00337321"/>
    <w:rsid w:val="00394850"/>
    <w:rsid w:val="003B55E1"/>
    <w:rsid w:val="003C17E2"/>
    <w:rsid w:val="003C3320"/>
    <w:rsid w:val="003D7E5C"/>
    <w:rsid w:val="003E7A73"/>
    <w:rsid w:val="00444F69"/>
    <w:rsid w:val="0046043F"/>
    <w:rsid w:val="00491490"/>
    <w:rsid w:val="00494494"/>
    <w:rsid w:val="004969FA"/>
    <w:rsid w:val="004B67F9"/>
    <w:rsid w:val="00527104"/>
    <w:rsid w:val="0055010D"/>
    <w:rsid w:val="00564DEE"/>
    <w:rsid w:val="0057441E"/>
    <w:rsid w:val="005A5D0D"/>
    <w:rsid w:val="005D6D05"/>
    <w:rsid w:val="006024A0"/>
    <w:rsid w:val="00602967"/>
    <w:rsid w:val="00606F11"/>
    <w:rsid w:val="00663696"/>
    <w:rsid w:val="006C738F"/>
    <w:rsid w:val="006F7A52"/>
    <w:rsid w:val="00711249"/>
    <w:rsid w:val="00712CAA"/>
    <w:rsid w:val="00716A8B"/>
    <w:rsid w:val="00730F76"/>
    <w:rsid w:val="00744A45"/>
    <w:rsid w:val="00754C6D"/>
    <w:rsid w:val="00755096"/>
    <w:rsid w:val="007703B4"/>
    <w:rsid w:val="007A34A3"/>
    <w:rsid w:val="007B0B06"/>
    <w:rsid w:val="007C2954"/>
    <w:rsid w:val="007D4F70"/>
    <w:rsid w:val="007E7CAB"/>
    <w:rsid w:val="00837B12"/>
    <w:rsid w:val="00841282"/>
    <w:rsid w:val="008552A3"/>
    <w:rsid w:val="00856DF8"/>
    <w:rsid w:val="00882652"/>
    <w:rsid w:val="00917386"/>
    <w:rsid w:val="0095194C"/>
    <w:rsid w:val="00991528"/>
    <w:rsid w:val="009A5430"/>
    <w:rsid w:val="009C15C4"/>
    <w:rsid w:val="009D7613"/>
    <w:rsid w:val="009F53F9"/>
    <w:rsid w:val="00A05391"/>
    <w:rsid w:val="00A317A9"/>
    <w:rsid w:val="00A41149"/>
    <w:rsid w:val="00AC2247"/>
    <w:rsid w:val="00AC2AE3"/>
    <w:rsid w:val="00B16D95"/>
    <w:rsid w:val="00B20316"/>
    <w:rsid w:val="00B34E3C"/>
    <w:rsid w:val="00B45FFB"/>
    <w:rsid w:val="00B62597"/>
    <w:rsid w:val="00B70A6E"/>
    <w:rsid w:val="00BA6146"/>
    <w:rsid w:val="00BB531B"/>
    <w:rsid w:val="00BB6921"/>
    <w:rsid w:val="00BF331B"/>
    <w:rsid w:val="00C10A93"/>
    <w:rsid w:val="00C439EC"/>
    <w:rsid w:val="00C5307B"/>
    <w:rsid w:val="00C72168"/>
    <w:rsid w:val="00C757F4"/>
    <w:rsid w:val="00C75A9D"/>
    <w:rsid w:val="00CA49B9"/>
    <w:rsid w:val="00CB19DE"/>
    <w:rsid w:val="00CB475B"/>
    <w:rsid w:val="00CC1B47"/>
    <w:rsid w:val="00D060CC"/>
    <w:rsid w:val="00D06EC8"/>
    <w:rsid w:val="00D136EA"/>
    <w:rsid w:val="00D251ED"/>
    <w:rsid w:val="00D831E4"/>
    <w:rsid w:val="00D95949"/>
    <w:rsid w:val="00DA23DE"/>
    <w:rsid w:val="00DB29E9"/>
    <w:rsid w:val="00DE34CF"/>
    <w:rsid w:val="00DF1112"/>
    <w:rsid w:val="00E1605D"/>
    <w:rsid w:val="00E32B6B"/>
    <w:rsid w:val="00E5387A"/>
    <w:rsid w:val="00E55E84"/>
    <w:rsid w:val="00EB68B0"/>
    <w:rsid w:val="00F4190F"/>
    <w:rsid w:val="00F5077C"/>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6B2109C6-4D12-41CA-A55B-5C5AB27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Template</Template>
  <TotalTime>0</TotalTime>
  <Pages>2</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2021-06-17T20:48:33Z</dcterms:created>
  <dcterms:modified xsi:type="dcterms:W3CDTF">2021-06-17T20:48:33Z</dcterms:modified>
</cp:coreProperties>
</file>