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April 11</w:t>
      </w:r>
      <w:r w:rsidR="00D674D9">
        <w:t>,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361A88">
        <w:t>09:10</w:t>
      </w:r>
      <w:r>
        <w:t>-12:00</w:t>
      </w:r>
      <w:r w:rsidRPr="00DB29E9">
        <w:t>)</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A93AA3">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974C04" w:rsidRPr="00DE22B7" w:rsidP="00F05E88">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right w:val="single" w:sz="4" w:space="0" w:color="auto"/>
            </w:tcBorders>
          </w:tcPr>
          <w:p w:rsidR="00974C04"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974C04"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974C04" w:rsidRPr="00863ACB" w:rsidP="00F05E8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right w:val="single" w:sz="4" w:space="0" w:color="auto"/>
            </w:tcBorders>
          </w:tcPr>
          <w:p w:rsidR="00974C04" w:rsidRPr="00863ACB" w:rsidP="00F05E8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A93AA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74C04" w:rsidRPr="003F29AD" w:rsidP="003F29AD">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974C04"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74C04"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74C04" w:rsidRPr="006978BB" w:rsidP="005C2128">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974C04" w:rsidRPr="006978BB" w:rsidP="005C2128">
            <w:pPr>
              <w:pStyle w:val="DisclaimerHeading"/>
              <w:spacing w:before="40" w:after="40" w:line="220" w:lineRule="exact"/>
              <w:jc w:val="center"/>
              <w:rPr>
                <w:b w:val="0"/>
                <w:color w:val="auto"/>
                <w:sz w:val="18"/>
                <w:szCs w:val="18"/>
              </w:rPr>
            </w:pPr>
            <w:r>
              <w:rPr>
                <w:b w:val="0"/>
                <w:color w:val="auto"/>
                <w:sz w:val="18"/>
                <w:szCs w:val="18"/>
              </w:rPr>
              <w:t>May 24, 2024</w:t>
            </w:r>
          </w:p>
        </w:tc>
      </w:tr>
      <w:tr w:rsidTr="001850D9">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974C04" w:rsidRPr="00BB6921" w:rsidP="00974C04">
            <w:pPr>
              <w:pStyle w:val="DisclaimerHeading"/>
              <w:spacing w:before="40" w:after="40" w:line="220" w:lineRule="exact"/>
              <w:jc w:val="left"/>
              <w:rPr>
                <w:b w:val="0"/>
                <w:i w:val="0"/>
                <w:color w:val="auto"/>
                <w:sz w:val="18"/>
                <w:szCs w:val="18"/>
              </w:rPr>
            </w:pPr>
            <w:r>
              <w:rPr>
                <w:b w:val="0"/>
                <w:i w:val="0"/>
                <w:color w:val="auto"/>
                <w:sz w:val="18"/>
                <w:szCs w:val="18"/>
              </w:rPr>
              <w:t>June 21, 2024</w:t>
            </w:r>
          </w:p>
        </w:tc>
        <w:tc>
          <w:tcPr>
            <w:tcW w:w="1980"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974C04" w:rsidP="00974C0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jc w:val="center"/>
              <w:rPr>
                <w:b w:val="0"/>
                <w:color w:val="auto"/>
                <w:sz w:val="18"/>
                <w:szCs w:val="18"/>
              </w:rPr>
            </w:pPr>
            <w:r>
              <w:rPr>
                <w:b w:val="0"/>
                <w:color w:val="auto"/>
                <w:sz w:val="18"/>
                <w:szCs w:val="18"/>
              </w:rPr>
              <w:t>June 13, 2024</w:t>
            </w:r>
          </w:p>
        </w:tc>
        <w:tc>
          <w:tcPr>
            <w:tcW w:w="1529" w:type="dxa"/>
            <w:tcBorders>
              <w:top w:val="single" w:sz="4" w:space="0" w:color="auto"/>
              <w:left w:val="single" w:sz="4" w:space="0" w:color="auto"/>
              <w:right w:val="single" w:sz="4" w:space="0" w:color="auto"/>
            </w:tcBorders>
          </w:tcPr>
          <w:p w:rsidR="00974C04" w:rsidRPr="00C10A93" w:rsidP="00974C04">
            <w:pPr>
              <w:pStyle w:val="DisclaimerHeading"/>
              <w:spacing w:before="40" w:after="40" w:line="220" w:lineRule="exact"/>
              <w:jc w:val="center"/>
              <w:rPr>
                <w:b w:val="0"/>
                <w:color w:val="auto"/>
                <w:sz w:val="18"/>
                <w:szCs w:val="18"/>
              </w:rPr>
            </w:pPr>
            <w:r>
              <w:rPr>
                <w:b w:val="0"/>
                <w:color w:val="auto"/>
                <w:sz w:val="18"/>
                <w:szCs w:val="18"/>
              </w:rPr>
              <w:t>June 18,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74C04" w:rsidRPr="00361A88" w:rsidP="00974C04">
            <w:pPr>
              <w:pStyle w:val="DisclaimerHeading"/>
              <w:spacing w:before="40" w:after="40" w:line="220" w:lineRule="exact"/>
              <w:jc w:val="left"/>
              <w:rPr>
                <w:b w:val="0"/>
                <w:i w:val="0"/>
                <w:color w:val="auto"/>
                <w:sz w:val="18"/>
                <w:szCs w:val="18"/>
              </w:rPr>
            </w:pPr>
            <w:r>
              <w:rPr>
                <w:b w:val="0"/>
                <w:i w:val="0"/>
                <w:color w:val="auto"/>
                <w:sz w:val="18"/>
                <w:szCs w:val="18"/>
              </w:rPr>
              <w:t>July 29, 2024</w:t>
            </w:r>
          </w:p>
        </w:tc>
        <w:tc>
          <w:tcPr>
            <w:tcW w:w="1980" w:type="dxa"/>
            <w:tcBorders>
              <w:top w:val="single" w:sz="4" w:space="0" w:color="auto"/>
              <w:left w:val="single" w:sz="4" w:space="0" w:color="auto"/>
              <w:bottom w:val="single" w:sz="4" w:space="0" w:color="auto"/>
              <w:right w:val="single" w:sz="4" w:space="0" w:color="auto"/>
            </w:tcBorders>
          </w:tcPr>
          <w:p w:rsidR="00974C04" w:rsidRPr="00DE452C" w:rsidP="00974C04">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jc w:val="center"/>
              <w:rPr>
                <w:b w:val="0"/>
                <w:color w:val="auto"/>
                <w:sz w:val="18"/>
                <w:szCs w:val="18"/>
              </w:rPr>
            </w:pPr>
            <w:r>
              <w:rPr>
                <w:b w:val="0"/>
                <w:color w:val="auto"/>
                <w:sz w:val="18"/>
                <w:szCs w:val="18"/>
              </w:rPr>
              <w:t>July 19, 2024</w:t>
            </w:r>
          </w:p>
        </w:tc>
        <w:tc>
          <w:tcPr>
            <w:tcW w:w="1529" w:type="dxa"/>
            <w:tcBorders>
              <w:top w:val="single" w:sz="4" w:space="0" w:color="auto"/>
              <w:left w:val="single" w:sz="4" w:space="0" w:color="auto"/>
              <w:bottom w:val="single" w:sz="4" w:space="0" w:color="auto"/>
              <w:right w:val="single" w:sz="4" w:space="0" w:color="auto"/>
            </w:tcBorders>
          </w:tcPr>
          <w:p w:rsidR="00974C04" w:rsidP="00974C04">
            <w:pPr>
              <w:pStyle w:val="DisclaimerHeading"/>
              <w:spacing w:before="40" w:after="40" w:line="220" w:lineRule="exact"/>
              <w:jc w:val="center"/>
              <w:rPr>
                <w:b w:val="0"/>
                <w:color w:val="auto"/>
                <w:sz w:val="18"/>
                <w:szCs w:val="18"/>
              </w:rPr>
            </w:pPr>
            <w:r>
              <w:rPr>
                <w:b w:val="0"/>
                <w:color w:val="auto"/>
                <w:sz w:val="18"/>
                <w:szCs w:val="18"/>
              </w:rPr>
              <w:t>July 24,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bookmarkStart w:id="2" w:name="_GoBack"/>
      <w:bookmarkEnd w:id="2"/>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A3DB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3F29AD">
      <w:t>March 4</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A3DB0"/>
    <w:rsid w:val="002B2CB6"/>
    <w:rsid w:val="002B2F98"/>
    <w:rsid w:val="002C6057"/>
    <w:rsid w:val="00305238"/>
    <w:rsid w:val="00323DE3"/>
    <w:rsid w:val="003251CE"/>
    <w:rsid w:val="00337321"/>
    <w:rsid w:val="00361A88"/>
    <w:rsid w:val="00394850"/>
    <w:rsid w:val="003B55E1"/>
    <w:rsid w:val="003C17E2"/>
    <w:rsid w:val="003C3320"/>
    <w:rsid w:val="003D7E5C"/>
    <w:rsid w:val="003E7A73"/>
    <w:rsid w:val="003F046E"/>
    <w:rsid w:val="003F29AD"/>
    <w:rsid w:val="0046043F"/>
    <w:rsid w:val="00491490"/>
    <w:rsid w:val="00493584"/>
    <w:rsid w:val="00494494"/>
    <w:rsid w:val="004969FA"/>
    <w:rsid w:val="004F3D57"/>
    <w:rsid w:val="00527104"/>
    <w:rsid w:val="00564DEE"/>
    <w:rsid w:val="005675A0"/>
    <w:rsid w:val="0057441E"/>
    <w:rsid w:val="005A5D0D"/>
    <w:rsid w:val="005B6804"/>
    <w:rsid w:val="005C2128"/>
    <w:rsid w:val="005D225E"/>
    <w:rsid w:val="005D6D05"/>
    <w:rsid w:val="006024A0"/>
    <w:rsid w:val="00602967"/>
    <w:rsid w:val="00606F11"/>
    <w:rsid w:val="00690003"/>
    <w:rsid w:val="006978BB"/>
    <w:rsid w:val="006C738F"/>
    <w:rsid w:val="006E0187"/>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2737"/>
    <w:rsid w:val="008552A3"/>
    <w:rsid w:val="00856DF8"/>
    <w:rsid w:val="00863ACB"/>
    <w:rsid w:val="00882652"/>
    <w:rsid w:val="00917386"/>
    <w:rsid w:val="0095194C"/>
    <w:rsid w:val="00974C04"/>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9530C"/>
    <w:rsid w:val="00CA49B9"/>
    <w:rsid w:val="00CB19DE"/>
    <w:rsid w:val="00CB475B"/>
    <w:rsid w:val="00CC1B47"/>
    <w:rsid w:val="00CE451E"/>
    <w:rsid w:val="00D06EC8"/>
    <w:rsid w:val="00D136EA"/>
    <w:rsid w:val="00D251ED"/>
    <w:rsid w:val="00D66F93"/>
    <w:rsid w:val="00D674D9"/>
    <w:rsid w:val="00D729E2"/>
    <w:rsid w:val="00D827A6"/>
    <w:rsid w:val="00D831E4"/>
    <w:rsid w:val="00D95949"/>
    <w:rsid w:val="00DA23DE"/>
    <w:rsid w:val="00DB29E9"/>
    <w:rsid w:val="00DB6FBE"/>
    <w:rsid w:val="00DE22B7"/>
    <w:rsid w:val="00DE34CF"/>
    <w:rsid w:val="00DE452C"/>
    <w:rsid w:val="00DE77B9"/>
    <w:rsid w:val="00DF1112"/>
    <w:rsid w:val="00E1605D"/>
    <w:rsid w:val="00E20EE0"/>
    <w:rsid w:val="00E32B6B"/>
    <w:rsid w:val="00E5387A"/>
    <w:rsid w:val="00E55E84"/>
    <w:rsid w:val="00EB68B0"/>
    <w:rsid w:val="00F05E88"/>
    <w:rsid w:val="00F4190F"/>
    <w:rsid w:val="00F5077C"/>
    <w:rsid w:val="00FA5955"/>
    <w:rsid w:val="00FB1739"/>
    <w:rsid w:val="00FC2B9A"/>
    <w:rsid w:val="00FC3E43"/>
    <w:rsid w:val="00FE47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3D849"/>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