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Load Analysis Subcommittee</w:t>
      </w:r>
    </w:p>
    <w:p w:rsidR="00847601" w:rsidRPr="00317419" w:rsidP="00847601">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62597" w:rsidRPr="00B62597" w:rsidP="00755096">
      <w:pPr>
        <w:pStyle w:val="MeetingDetails"/>
      </w:pPr>
      <w:r>
        <w:t>June 26,</w:t>
      </w:r>
      <w:r w:rsidR="002B2F98">
        <w:t xml:space="preserve"> </w:t>
      </w:r>
      <w:r w:rsidR="0097702E">
        <w:t>2023</w:t>
      </w:r>
    </w:p>
    <w:p w:rsidR="00B62597" w:rsidRPr="00B62597" w:rsidP="00755096">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847601">
        <w:t>1</w:t>
      </w:r>
      <w:r w:rsidRPr="00527104">
        <w:t>:00-</w:t>
      </w:r>
      <w:r w:rsidR="00847601">
        <w:t>1</w:t>
      </w:r>
      <w:r w:rsidRPr="00527104">
        <w:t>:</w:t>
      </w:r>
      <w:r w:rsidR="00847601">
        <w:t>10</w:t>
      </w:r>
      <w:r w:rsidRPr="00527104">
        <w:t>)</w:t>
      </w:r>
    </w:p>
    <w:bookmarkEnd w:id="0"/>
    <w:bookmarkEnd w:id="1"/>
    <w:p w:rsidR="00847601" w:rsidRPr="004B252B" w:rsidP="00847601">
      <w:pPr>
        <w:numPr>
          <w:ilvl w:val="0"/>
          <w:numId w:val="14"/>
        </w:numPr>
        <w:tabs>
          <w:tab w:val="left" w:pos="0"/>
        </w:tabs>
        <w:spacing w:before="120" w:line="240" w:lineRule="auto"/>
        <w:rPr>
          <w:rFonts w:ascii="Arial Narrow" w:eastAsia="Times New Roman" w:hAnsi="Arial Narrow" w:cs="Times New Roman"/>
          <w:sz w:val="24"/>
        </w:rPr>
      </w:pPr>
      <w:r w:rsidRPr="004B252B">
        <w:rPr>
          <w:rFonts w:ascii="Arial Narrow" w:eastAsia="Times New Roman" w:hAnsi="Arial Narrow" w:cs="Times New Roman"/>
          <w:sz w:val="24"/>
        </w:rPr>
        <w:t>Welcome, announcements and review of the Anti-trust, Code of Conduct, and Media Participation Guidelines.</w:t>
      </w:r>
    </w:p>
    <w:p w:rsidR="00847601" w:rsidRPr="004B252B" w:rsidP="00847601">
      <w:pPr>
        <w:numPr>
          <w:ilvl w:val="0"/>
          <w:numId w:val="14"/>
        </w:numPr>
        <w:tabs>
          <w:tab w:val="left" w:pos="0"/>
        </w:tabs>
        <w:spacing w:line="240" w:lineRule="auto"/>
        <w:rPr>
          <w:rFonts w:ascii="Arial Narrow" w:eastAsia="Times New Roman" w:hAnsi="Arial Narrow" w:cs="Times New Roman"/>
          <w:sz w:val="24"/>
        </w:rPr>
      </w:pPr>
      <w:r w:rsidRPr="004B252B">
        <w:rPr>
          <w:rFonts w:ascii="Arial Narrow" w:eastAsia="Times New Roman" w:hAnsi="Arial Narrow" w:cs="Times New Roman"/>
          <w:sz w:val="24"/>
        </w:rPr>
        <w:t xml:space="preserve">Approve draft minutes from the </w:t>
      </w:r>
      <w:r>
        <w:rPr>
          <w:rFonts w:ascii="Arial Narrow" w:eastAsia="Times New Roman" w:hAnsi="Arial Narrow" w:cs="Times New Roman"/>
          <w:sz w:val="24"/>
        </w:rPr>
        <w:t>November 29</w:t>
      </w:r>
      <w:r w:rsidRPr="004B252B">
        <w:rPr>
          <w:rFonts w:ascii="Arial Narrow" w:eastAsia="Times New Roman" w:hAnsi="Arial Narrow" w:cs="Times New Roman"/>
          <w:sz w:val="24"/>
        </w:rPr>
        <w:t>, 202</w:t>
      </w:r>
      <w:r>
        <w:rPr>
          <w:rFonts w:ascii="Arial Narrow" w:eastAsia="Times New Roman" w:hAnsi="Arial Narrow" w:cs="Times New Roman"/>
          <w:sz w:val="24"/>
        </w:rPr>
        <w:t>2</w:t>
      </w:r>
      <w:r w:rsidRPr="004B252B">
        <w:rPr>
          <w:rFonts w:ascii="Arial Narrow" w:eastAsia="Times New Roman" w:hAnsi="Arial Narrow" w:cs="Times New Roman"/>
          <w:sz w:val="24"/>
        </w:rPr>
        <w:t xml:space="preserve"> </w:t>
      </w:r>
      <w:r>
        <w:rPr>
          <w:rFonts w:ascii="Arial Narrow" w:eastAsia="Times New Roman" w:hAnsi="Arial Narrow" w:cs="Times New Roman"/>
          <w:sz w:val="24"/>
        </w:rPr>
        <w:t>LAS</w:t>
      </w:r>
      <w:r w:rsidRPr="004B252B">
        <w:rPr>
          <w:rFonts w:ascii="Arial Narrow" w:eastAsia="Times New Roman" w:hAnsi="Arial Narrow" w:cs="Times New Roman"/>
          <w:sz w:val="24"/>
        </w:rPr>
        <w:t xml:space="preserve"> meeting</w:t>
      </w:r>
      <w:r w:rsidR="009D69FB">
        <w:rPr>
          <w:rFonts w:ascii="Arial Narrow" w:eastAsia="Times New Roman" w:hAnsi="Arial Narrow" w:cs="Times New Roman"/>
          <w:sz w:val="24"/>
        </w:rPr>
        <w:t>.</w:t>
      </w:r>
    </w:p>
    <w:p w:rsidR="001D3B68" w:rsidRPr="00DB29E9" w:rsidP="00847601">
      <w:pPr>
        <w:pStyle w:val="PrimaryHeading"/>
      </w:pPr>
      <w:r>
        <w:t>Meeting Materials</w:t>
      </w:r>
      <w:r>
        <w:t xml:space="preserve"> (</w:t>
      </w:r>
      <w:r>
        <w:t>1:10</w:t>
      </w:r>
      <w:r>
        <w:t>-</w:t>
      </w:r>
      <w:r w:rsidR="00435F2D">
        <w:t>4</w:t>
      </w:r>
      <w:r>
        <w:t>:00)</w:t>
      </w:r>
    </w:p>
    <w:p w:rsidR="003C3320" w:rsidRPr="00847601" w:rsidP="00847601">
      <w:pPr>
        <w:pStyle w:val="SecondaryHeading-Numbered"/>
        <w:numPr>
          <w:ilvl w:val="0"/>
          <w:numId w:val="14"/>
        </w:numPr>
        <w:spacing w:after="0"/>
        <w:rPr>
          <w:b w:val="0"/>
          <w:u w:val="single"/>
        </w:rPr>
      </w:pPr>
      <w:r w:rsidRPr="00847601">
        <w:rPr>
          <w:b w:val="0"/>
          <w:u w:val="single"/>
        </w:rPr>
        <w:t>Dominion Data Center – Table in 2023 Load Forecast (B9)</w:t>
      </w:r>
      <w:r w:rsidR="00435F2D">
        <w:rPr>
          <w:b w:val="0"/>
        </w:rPr>
        <w:t xml:space="preserve">   </w:t>
      </w:r>
      <w:r w:rsidRPr="00435F2D" w:rsidR="00435F2D">
        <w:t>(1:10 – 1:30)</w:t>
      </w:r>
    </w:p>
    <w:p w:rsidR="00847601" w:rsidP="00847601">
      <w:pPr>
        <w:pStyle w:val="SecondaryHeading-Numbered"/>
        <w:numPr>
          <w:ilvl w:val="0"/>
          <w:numId w:val="0"/>
        </w:numPr>
        <w:spacing w:after="0"/>
        <w:ind w:left="720"/>
        <w:rPr>
          <w:b w:val="0"/>
        </w:rPr>
      </w:pPr>
      <w:r w:rsidRPr="00847601">
        <w:rPr>
          <w:b w:val="0"/>
        </w:rPr>
        <w:t xml:space="preserve">Molly Mooney, PJM, will discuss method used to show updated adjustment values that now reflects the amount that the forecast is increased considering the adjustment above what would have been embedded. </w:t>
      </w:r>
    </w:p>
    <w:p w:rsidR="0041109D" w:rsidP="00847601">
      <w:pPr>
        <w:pStyle w:val="SecondaryHeading-Numbered"/>
        <w:numPr>
          <w:ilvl w:val="0"/>
          <w:numId w:val="0"/>
        </w:numPr>
        <w:spacing w:after="0"/>
        <w:ind w:left="720"/>
        <w:rPr>
          <w:b w:val="0"/>
        </w:rPr>
      </w:pPr>
    </w:p>
    <w:p w:rsidR="00847601" w:rsidRPr="0041109D" w:rsidP="0041109D">
      <w:pPr>
        <w:pStyle w:val="SecondaryHeading-Numbered"/>
        <w:numPr>
          <w:ilvl w:val="0"/>
          <w:numId w:val="14"/>
        </w:numPr>
        <w:spacing w:after="0"/>
        <w:rPr>
          <w:b w:val="0"/>
          <w:u w:val="single"/>
        </w:rPr>
      </w:pPr>
      <w:r w:rsidRPr="0041109D">
        <w:rPr>
          <w:b w:val="0"/>
          <w:u w:val="single"/>
        </w:rPr>
        <w:t>Impact of Forecasted Large Load Adjustments in RTEP</w:t>
      </w:r>
      <w:r w:rsidR="00435F2D">
        <w:rPr>
          <w:b w:val="0"/>
        </w:rPr>
        <w:t xml:space="preserve">   </w:t>
      </w:r>
      <w:r w:rsidRPr="00435F2D" w:rsidR="00435F2D">
        <w:t>(1:</w:t>
      </w:r>
      <w:r w:rsidR="00435F2D">
        <w:t>3</w:t>
      </w:r>
      <w:r w:rsidRPr="00435F2D" w:rsidR="00435F2D">
        <w:t xml:space="preserve">0 – </w:t>
      </w:r>
      <w:r w:rsidR="00435F2D">
        <w:t>2:0</w:t>
      </w:r>
      <w:r w:rsidRPr="00435F2D" w:rsidR="00435F2D">
        <w:t>0)</w:t>
      </w:r>
    </w:p>
    <w:p w:rsidR="0041109D" w:rsidP="0041109D">
      <w:pPr>
        <w:pStyle w:val="SecondaryHeading-Numbered"/>
        <w:numPr>
          <w:ilvl w:val="0"/>
          <w:numId w:val="0"/>
        </w:numPr>
        <w:spacing w:after="0"/>
        <w:ind w:left="720"/>
        <w:rPr>
          <w:b w:val="0"/>
        </w:rPr>
      </w:pPr>
      <w:r w:rsidRPr="0041109D">
        <w:rPr>
          <w:b w:val="0"/>
        </w:rPr>
        <w:t>Michael Herman and Stan Sliwa, PJM, will discuss the need to include load ad</w:t>
      </w:r>
      <w:r w:rsidR="00B010AD">
        <w:rPr>
          <w:b w:val="0"/>
        </w:rPr>
        <w:t>j</w:t>
      </w:r>
      <w:r w:rsidRPr="0041109D">
        <w:rPr>
          <w:b w:val="0"/>
        </w:rPr>
        <w:t>ustments and resulting growth in the forecast to help drive RTEP and projects that need long lead-times.</w:t>
      </w:r>
    </w:p>
    <w:p w:rsidR="0041109D" w:rsidP="0041109D">
      <w:pPr>
        <w:pStyle w:val="SecondaryHeading-Numbered"/>
        <w:numPr>
          <w:ilvl w:val="0"/>
          <w:numId w:val="0"/>
        </w:numPr>
        <w:spacing w:after="0"/>
        <w:ind w:left="720"/>
        <w:rPr>
          <w:b w:val="0"/>
        </w:rPr>
      </w:pPr>
    </w:p>
    <w:p w:rsidR="0041109D" w:rsidRPr="0041109D" w:rsidP="0041109D">
      <w:pPr>
        <w:pStyle w:val="SecondaryHeading-Numbered"/>
        <w:numPr>
          <w:ilvl w:val="0"/>
          <w:numId w:val="14"/>
        </w:numPr>
        <w:spacing w:after="0"/>
        <w:rPr>
          <w:b w:val="0"/>
          <w:u w:val="single"/>
        </w:rPr>
      </w:pPr>
      <w:r w:rsidRPr="0041109D">
        <w:rPr>
          <w:b w:val="0"/>
          <w:u w:val="single"/>
        </w:rPr>
        <w:t>Dominion Load Adjustment: Method/Results</w:t>
      </w:r>
      <w:r w:rsidR="00435F2D">
        <w:rPr>
          <w:b w:val="0"/>
        </w:rPr>
        <w:t xml:space="preserve">   </w:t>
      </w:r>
      <w:r w:rsidRPr="00435F2D" w:rsidR="00435F2D">
        <w:t>(</w:t>
      </w:r>
      <w:r w:rsidR="00435F2D">
        <w:t>2:00</w:t>
      </w:r>
      <w:r w:rsidRPr="00435F2D" w:rsidR="00435F2D">
        <w:t xml:space="preserve"> – </w:t>
      </w:r>
      <w:r w:rsidR="00435F2D">
        <w:t>2:45</w:t>
      </w:r>
      <w:r w:rsidRPr="00435F2D" w:rsidR="00435F2D">
        <w:t>)</w:t>
      </w:r>
    </w:p>
    <w:p w:rsidR="0041109D" w:rsidP="0041109D">
      <w:pPr>
        <w:pStyle w:val="SecondaryHeading-Numbered"/>
        <w:numPr>
          <w:ilvl w:val="0"/>
          <w:numId w:val="0"/>
        </w:numPr>
        <w:spacing w:after="0"/>
        <w:ind w:left="720"/>
        <w:rPr>
          <w:b w:val="0"/>
        </w:rPr>
      </w:pPr>
      <w:r>
        <w:rPr>
          <w:b w:val="0"/>
        </w:rPr>
        <w:t>Stan Blackwell, Dominion, will review topics related to Dominion’s data center forecast including a high level overview of their forecast framework and methods.</w:t>
      </w:r>
    </w:p>
    <w:p w:rsidR="0041109D" w:rsidP="0041109D">
      <w:pPr>
        <w:pStyle w:val="SecondaryHeading-Numbered"/>
        <w:numPr>
          <w:ilvl w:val="0"/>
          <w:numId w:val="0"/>
        </w:numPr>
        <w:spacing w:after="0"/>
        <w:ind w:left="720"/>
        <w:rPr>
          <w:b w:val="0"/>
        </w:rPr>
      </w:pPr>
    </w:p>
    <w:p w:rsidR="00435F2D" w:rsidRPr="00435F2D" w:rsidP="00435F2D">
      <w:pPr>
        <w:pStyle w:val="SecondaryHeading-Numbered"/>
        <w:numPr>
          <w:ilvl w:val="0"/>
          <w:numId w:val="14"/>
        </w:numPr>
        <w:spacing w:after="0"/>
        <w:rPr>
          <w:b w:val="0"/>
          <w:u w:val="single"/>
        </w:rPr>
      </w:pPr>
      <w:r w:rsidRPr="00435F2D">
        <w:rPr>
          <w:b w:val="0"/>
          <w:u w:val="single"/>
        </w:rPr>
        <w:t>Updates to Manual 19: Attachment B</w:t>
      </w:r>
      <w:r>
        <w:rPr>
          <w:b w:val="0"/>
        </w:rPr>
        <w:t xml:space="preserve">   </w:t>
      </w:r>
      <w:r w:rsidRPr="00435F2D">
        <w:t>(</w:t>
      </w:r>
      <w:r>
        <w:t>2:45</w:t>
      </w:r>
      <w:r w:rsidRPr="00435F2D">
        <w:t xml:space="preserve"> – </w:t>
      </w:r>
      <w:r>
        <w:t>3</w:t>
      </w:r>
      <w:r w:rsidRPr="00435F2D">
        <w:t>:30)</w:t>
      </w:r>
    </w:p>
    <w:p w:rsidR="00DA4EBF" w:rsidP="00435F2D">
      <w:pPr>
        <w:pStyle w:val="SecondaryHeading-Numbered"/>
        <w:numPr>
          <w:ilvl w:val="0"/>
          <w:numId w:val="0"/>
        </w:numPr>
        <w:ind w:left="720"/>
        <w:rPr>
          <w:b w:val="0"/>
        </w:rPr>
      </w:pPr>
      <w:r w:rsidRPr="00435F2D">
        <w:rPr>
          <w:b w:val="0"/>
        </w:rPr>
        <w:t xml:space="preserve">Molly Mooney will discuss updates to </w:t>
      </w:r>
      <w:r w:rsidRPr="00435F2D" w:rsidR="00D137BD">
        <w:rPr>
          <w:b w:val="0"/>
        </w:rPr>
        <w:t>Manual 19: Load Forecasting and Analysis</w:t>
      </w:r>
      <w:r w:rsidRPr="00435F2D">
        <w:rPr>
          <w:b w:val="0"/>
        </w:rPr>
        <w:t>, specifically A</w:t>
      </w:r>
      <w:r w:rsidRPr="00435F2D" w:rsidR="00D137BD">
        <w:rPr>
          <w:b w:val="0"/>
        </w:rPr>
        <w:t>ttachment B: Load</w:t>
      </w:r>
      <w:r w:rsidRPr="00435F2D">
        <w:rPr>
          <w:b w:val="0"/>
        </w:rPr>
        <w:t xml:space="preserve"> Forecast Adjustment Guidelines.</w:t>
      </w:r>
    </w:p>
    <w:p w:rsidR="00435F2D" w:rsidRPr="00435F2D" w:rsidP="00435F2D">
      <w:pPr>
        <w:pStyle w:val="SecondaryHeading-Numbered"/>
        <w:numPr>
          <w:ilvl w:val="0"/>
          <w:numId w:val="14"/>
        </w:numPr>
        <w:spacing w:after="0"/>
        <w:rPr>
          <w:b w:val="0"/>
          <w:u w:val="single"/>
        </w:rPr>
      </w:pPr>
      <w:r w:rsidRPr="00435F2D">
        <w:rPr>
          <w:b w:val="0"/>
          <w:u w:val="single"/>
        </w:rPr>
        <w:t>Electrification/State Policy</w:t>
      </w:r>
      <w:r>
        <w:rPr>
          <w:b w:val="0"/>
        </w:rPr>
        <w:t xml:space="preserve">   </w:t>
      </w:r>
      <w:r w:rsidRPr="00435F2D">
        <w:t>(</w:t>
      </w:r>
      <w:r>
        <w:t>3:30</w:t>
      </w:r>
      <w:r w:rsidRPr="00435F2D">
        <w:t xml:space="preserve"> – </w:t>
      </w:r>
      <w:r>
        <w:t>4:00</w:t>
      </w:r>
      <w:r w:rsidRPr="00435F2D">
        <w:t>)</w:t>
      </w:r>
      <w:r w:rsidRPr="00435F2D">
        <w:rPr>
          <w:b w:val="0"/>
          <w:u w:val="single"/>
        </w:rPr>
        <w:t xml:space="preserve"> </w:t>
      </w:r>
    </w:p>
    <w:p w:rsidR="00DA4EBF" w:rsidRPr="00435F2D" w:rsidP="00435F2D">
      <w:pPr>
        <w:pStyle w:val="SecondaryHeading-Numbered"/>
        <w:numPr>
          <w:ilvl w:val="0"/>
          <w:numId w:val="0"/>
        </w:numPr>
        <w:ind w:left="720"/>
        <w:rPr>
          <w:b w:val="0"/>
        </w:rPr>
      </w:pPr>
      <w:r>
        <w:rPr>
          <w:b w:val="0"/>
        </w:rPr>
        <w:t xml:space="preserve">Andrew Gledhill, PJM, </w:t>
      </w:r>
      <w:r w:rsidRPr="00435F2D">
        <w:rPr>
          <w:b w:val="0"/>
        </w:rPr>
        <w:t xml:space="preserve">will discuss </w:t>
      </w:r>
      <w:r>
        <w:rPr>
          <w:b w:val="0"/>
        </w:rPr>
        <w:t xml:space="preserve">electrification scenario used in the </w:t>
      </w:r>
      <w:r w:rsidRPr="00435F2D" w:rsidR="00D137BD">
        <w:rPr>
          <w:b w:val="0"/>
          <w:bCs/>
          <w:i/>
          <w:iCs/>
        </w:rPr>
        <w:t>Energy Transition in PJM: Resource Retirements, Replacements &amp; Risks</w:t>
      </w:r>
      <w:r>
        <w:rPr>
          <w:bCs/>
          <w:i/>
          <w:iCs/>
        </w:rPr>
        <w:t xml:space="preserve"> </w:t>
      </w:r>
      <w:r w:rsidRPr="00435F2D">
        <w:rPr>
          <w:b w:val="0"/>
          <w:bCs/>
          <w:iCs/>
        </w:rPr>
        <w:t>paper along with current/pending state electrification policies.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060C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63711D">
        <w:tblPrEx>
          <w:tblW w:w="0" w:type="auto"/>
          <w:tblLook w:val="04A0"/>
        </w:tblPrEx>
        <w:trPr>
          <w:trHeight w:val="331"/>
        </w:trPr>
        <w:tc>
          <w:tcPr>
            <w:tcW w:w="1201" w:type="dxa"/>
            <w:tcBorders>
              <w:top w:val="single" w:sz="6" w:space="0" w:color="FFFFFF" w:themeColor="background1"/>
              <w:bottom w:val="single" w:sz="4" w:space="0" w:color="auto"/>
              <w:right w:val="single" w:sz="4" w:space="0" w:color="auto"/>
            </w:tcBorders>
            <w:shd w:val="clear" w:color="auto" w:fill="E1F6FF"/>
          </w:tcPr>
          <w:p w:rsidR="00D137BD" w:rsidRPr="009D69FB" w:rsidP="00D137BD">
            <w:pPr>
              <w:pStyle w:val="AttendeesList"/>
              <w:ind w:left="720" w:hanging="720"/>
              <w:jc w:val="center"/>
              <w:rPr>
                <w:b/>
                <w:i w:val="0"/>
                <w:szCs w:val="18"/>
              </w:rPr>
            </w:pPr>
            <w:r w:rsidRPr="009D69FB">
              <w:rPr>
                <w:i w:val="0"/>
                <w:sz w:val="22"/>
                <w:szCs w:val="22"/>
              </w:rPr>
              <w:t>7.19.2023</w:t>
            </w:r>
          </w:p>
        </w:tc>
        <w:tc>
          <w:tcPr>
            <w:tcW w:w="983" w:type="dxa"/>
            <w:tcBorders>
              <w:top w:val="single" w:sz="6" w:space="0" w:color="FFFFFF" w:themeColor="background1"/>
              <w:left w:val="single" w:sz="4" w:space="0" w:color="auto"/>
              <w:bottom w:val="single" w:sz="4" w:space="0" w:color="auto"/>
              <w:right w:val="single" w:sz="8" w:space="0" w:color="auto"/>
            </w:tcBorders>
          </w:tcPr>
          <w:p w:rsidR="00D137BD" w:rsidRPr="00C10A93" w:rsidP="00D137BD">
            <w:pPr>
              <w:pStyle w:val="DisclaimerHeading"/>
              <w:spacing w:before="40" w:after="40" w:line="220" w:lineRule="exact"/>
              <w:rPr>
                <w:b w:val="0"/>
                <w:color w:val="auto"/>
                <w:sz w:val="18"/>
                <w:szCs w:val="18"/>
              </w:rPr>
            </w:pPr>
            <w:r>
              <w:rPr>
                <w:b w:val="0"/>
                <w:color w:val="auto"/>
                <w:sz w:val="18"/>
                <w:szCs w:val="18"/>
              </w:rPr>
              <w:t>9:00 a.m. – 12:00 p.m.</w:t>
            </w:r>
          </w:p>
        </w:tc>
        <w:tc>
          <w:tcPr>
            <w:tcW w:w="3756" w:type="dxa"/>
            <w:tcBorders>
              <w:top w:val="single" w:sz="6" w:space="0" w:color="FFFFFF" w:themeColor="background1"/>
              <w:left w:val="single" w:sz="8" w:space="0" w:color="auto"/>
              <w:bottom w:val="single" w:sz="4" w:space="0" w:color="auto"/>
              <w:right w:val="single" w:sz="8" w:space="0" w:color="auto"/>
            </w:tcBorders>
            <w:vAlign w:val="center"/>
          </w:tcPr>
          <w:p w:rsidR="00D137BD" w:rsidRPr="00237312" w:rsidP="00D137BD">
            <w:pPr>
              <w:pStyle w:val="event-address"/>
              <w:rPr>
                <w:rFonts w:ascii="Arial Narrow" w:hAnsi="Arial Narrow"/>
                <w:color w:val="222222"/>
                <w:sz w:val="22"/>
                <w:szCs w:val="22"/>
              </w:rPr>
            </w:pPr>
            <w:r w:rsidRPr="00237312">
              <w:rPr>
                <w:rFonts w:ascii="Arial Narrow" w:hAnsi="Arial Narrow"/>
                <w:color w:val="222222"/>
                <w:sz w:val="22"/>
                <w:szCs w:val="22"/>
              </w:rPr>
              <w:t>Teleconference/Webex</w:t>
            </w:r>
          </w:p>
        </w:tc>
        <w:tc>
          <w:tcPr>
            <w:tcW w:w="1816" w:type="dxa"/>
            <w:tcBorders>
              <w:top w:val="single" w:sz="6" w:space="0" w:color="FFFFFF" w:themeColor="background1"/>
              <w:left w:val="single" w:sz="4" w:space="0" w:color="auto"/>
              <w:bottom w:val="single" w:sz="4" w:space="0" w:color="auto"/>
              <w:right w:val="single" w:sz="4" w:space="0" w:color="auto"/>
            </w:tcBorders>
          </w:tcPr>
          <w:p w:rsidR="00D137BD" w:rsidRPr="00D137BD" w:rsidP="00914FFA">
            <w:pPr>
              <w:pStyle w:val="DisclaimerHeading"/>
              <w:spacing w:before="40" w:after="40" w:line="220" w:lineRule="exact"/>
              <w:jc w:val="center"/>
              <w:rPr>
                <w:b w:val="0"/>
                <w:color w:val="auto"/>
                <w:sz w:val="22"/>
                <w:szCs w:val="18"/>
              </w:rPr>
            </w:pPr>
            <w:bookmarkStart w:id="2" w:name="_GoBack"/>
            <w:bookmarkEnd w:id="2"/>
            <w:r w:rsidRPr="00D137BD">
              <w:rPr>
                <w:b w:val="0"/>
                <w:color w:val="auto"/>
                <w:sz w:val="22"/>
                <w:szCs w:val="18"/>
              </w:rPr>
              <w:t>7.11.2023</w:t>
            </w:r>
          </w:p>
        </w:tc>
        <w:tc>
          <w:tcPr>
            <w:tcW w:w="1529" w:type="dxa"/>
            <w:tcBorders>
              <w:top w:val="single" w:sz="6" w:space="0" w:color="FFFFFF" w:themeColor="background1"/>
              <w:left w:val="single" w:sz="4" w:space="0" w:color="auto"/>
              <w:bottom w:val="single" w:sz="4" w:space="0" w:color="auto"/>
              <w:right w:val="single" w:sz="4" w:space="0" w:color="auto"/>
            </w:tcBorders>
          </w:tcPr>
          <w:p w:rsidR="00D137BD" w:rsidRPr="00D137BD" w:rsidP="00914FFA">
            <w:pPr>
              <w:pStyle w:val="DisclaimerHeading"/>
              <w:spacing w:before="40" w:after="40" w:line="220" w:lineRule="exact"/>
              <w:jc w:val="center"/>
              <w:rPr>
                <w:b w:val="0"/>
                <w:color w:val="auto"/>
                <w:sz w:val="22"/>
                <w:szCs w:val="18"/>
              </w:rPr>
            </w:pPr>
            <w:r w:rsidRPr="00D137BD">
              <w:rPr>
                <w:b w:val="0"/>
                <w:color w:val="auto"/>
                <w:sz w:val="22"/>
                <w:szCs w:val="18"/>
              </w:rPr>
              <w:t>7.14.2023</w:t>
            </w:r>
          </w:p>
        </w:tc>
      </w:tr>
      <w:tr w:rsidTr="006A03D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137BD" w:rsidRPr="009D69FB" w:rsidP="00D137BD">
            <w:pPr>
              <w:pStyle w:val="AttendeesList"/>
              <w:ind w:left="720" w:hanging="720"/>
              <w:jc w:val="center"/>
              <w:rPr>
                <w:b/>
                <w:i w:val="0"/>
                <w:szCs w:val="18"/>
              </w:rPr>
            </w:pPr>
            <w:r w:rsidRPr="009D69FB">
              <w:rPr>
                <w:i w:val="0"/>
                <w:sz w:val="22"/>
                <w:szCs w:val="22"/>
              </w:rPr>
              <w:t>10.18.2023</w:t>
            </w:r>
          </w:p>
          <w:p w:rsidR="00D137BD" w:rsidRPr="009D69FB" w:rsidP="00D137BD">
            <w:pPr>
              <w:pStyle w:val="DisclaimerHeading"/>
              <w:spacing w:before="40" w:after="40" w:line="220" w:lineRule="exact"/>
              <w:jc w:val="left"/>
              <w:rPr>
                <w:b w:val="0"/>
                <w:i w:val="0"/>
                <w:color w:val="auto"/>
                <w:sz w:val="18"/>
                <w:szCs w:val="18"/>
              </w:rPr>
            </w:pPr>
          </w:p>
        </w:tc>
        <w:tc>
          <w:tcPr>
            <w:tcW w:w="983" w:type="dxa"/>
            <w:tcBorders>
              <w:top w:val="single" w:sz="4" w:space="0" w:color="auto"/>
              <w:left w:val="single" w:sz="4" w:space="0" w:color="auto"/>
              <w:bottom w:val="single" w:sz="4" w:space="0" w:color="auto"/>
              <w:right w:val="single" w:sz="8" w:space="0" w:color="auto"/>
            </w:tcBorders>
          </w:tcPr>
          <w:p w:rsidR="00D137BD" w:rsidRPr="00C10A93" w:rsidP="00D137BD">
            <w:pPr>
              <w:pStyle w:val="DisclaimerHeading"/>
              <w:spacing w:before="40" w:after="40" w:line="220" w:lineRule="exact"/>
              <w:rPr>
                <w:b w:val="0"/>
                <w:color w:val="auto"/>
                <w:sz w:val="18"/>
                <w:szCs w:val="18"/>
              </w:rPr>
            </w:pPr>
            <w:r>
              <w:rPr>
                <w:b w:val="0"/>
                <w:color w:val="auto"/>
                <w:sz w:val="18"/>
                <w:szCs w:val="18"/>
              </w:rPr>
              <w:t>9:00 a.m. – 12:00 p.m.</w:t>
            </w:r>
          </w:p>
        </w:tc>
        <w:tc>
          <w:tcPr>
            <w:tcW w:w="3756" w:type="dxa"/>
            <w:tcBorders>
              <w:top w:val="single" w:sz="4" w:space="0" w:color="auto"/>
              <w:left w:val="single" w:sz="8" w:space="0" w:color="auto"/>
              <w:bottom w:val="single" w:sz="4" w:space="0" w:color="auto"/>
              <w:right w:val="single" w:sz="8" w:space="0" w:color="auto"/>
            </w:tcBorders>
            <w:vAlign w:val="center"/>
          </w:tcPr>
          <w:p w:rsidR="00D137BD" w:rsidRPr="00237312" w:rsidP="00D137BD">
            <w:pPr>
              <w:pStyle w:val="event-address"/>
              <w:rPr>
                <w:rFonts w:ascii="Arial Narrow" w:hAnsi="Arial Narrow"/>
                <w:color w:val="222222"/>
                <w:sz w:val="22"/>
                <w:szCs w:val="22"/>
              </w:rPr>
            </w:pPr>
            <w:r w:rsidRPr="00237312">
              <w:rPr>
                <w:rFonts w:ascii="Arial Narrow" w:hAnsi="Arial Narrow"/>
                <w:color w:val="222222"/>
                <w:sz w:val="22"/>
                <w:szCs w:val="22"/>
              </w:rPr>
              <w:t>Teleconference/Webex</w:t>
            </w:r>
          </w:p>
        </w:tc>
        <w:tc>
          <w:tcPr>
            <w:tcW w:w="1816" w:type="dxa"/>
            <w:tcBorders>
              <w:top w:val="single" w:sz="4" w:space="0" w:color="auto"/>
              <w:left w:val="single" w:sz="4" w:space="0" w:color="auto"/>
              <w:bottom w:val="single" w:sz="4" w:space="0" w:color="auto"/>
              <w:right w:val="single" w:sz="4" w:space="0" w:color="auto"/>
            </w:tcBorders>
          </w:tcPr>
          <w:p w:rsidR="00D137BD" w:rsidRPr="00914FFA" w:rsidP="00914FFA">
            <w:pPr>
              <w:pStyle w:val="DisclaimerHeading"/>
              <w:spacing w:before="40" w:after="40" w:line="220" w:lineRule="exact"/>
              <w:jc w:val="center"/>
              <w:rPr>
                <w:b w:val="0"/>
                <w:color w:val="auto"/>
                <w:sz w:val="22"/>
                <w:szCs w:val="18"/>
              </w:rPr>
            </w:pPr>
            <w:r w:rsidRPr="00914FFA">
              <w:rPr>
                <w:b w:val="0"/>
                <w:color w:val="auto"/>
                <w:sz w:val="22"/>
                <w:szCs w:val="18"/>
              </w:rPr>
              <w:t>10.10.2023</w:t>
            </w:r>
          </w:p>
        </w:tc>
        <w:tc>
          <w:tcPr>
            <w:tcW w:w="1529" w:type="dxa"/>
            <w:tcBorders>
              <w:top w:val="single" w:sz="4" w:space="0" w:color="auto"/>
              <w:left w:val="single" w:sz="4" w:space="0" w:color="auto"/>
              <w:bottom w:val="single" w:sz="4" w:space="0" w:color="auto"/>
              <w:right w:val="single" w:sz="4" w:space="0" w:color="auto"/>
            </w:tcBorders>
          </w:tcPr>
          <w:p w:rsidR="00D137BD" w:rsidRPr="00914FFA" w:rsidP="00914FFA">
            <w:pPr>
              <w:pStyle w:val="DisclaimerHeading"/>
              <w:spacing w:before="40" w:after="40" w:line="220" w:lineRule="exact"/>
              <w:jc w:val="center"/>
              <w:rPr>
                <w:b w:val="0"/>
                <w:color w:val="auto"/>
                <w:sz w:val="22"/>
                <w:szCs w:val="18"/>
              </w:rPr>
            </w:pPr>
            <w:r w:rsidRPr="00914FFA">
              <w:rPr>
                <w:b w:val="0"/>
                <w:color w:val="auto"/>
                <w:sz w:val="22"/>
                <w:szCs w:val="18"/>
              </w:rPr>
              <w:t>10.13.2023</w:t>
            </w:r>
          </w:p>
        </w:tc>
      </w:tr>
      <w:tr w:rsidTr="009D69F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vAlign w:val="bottom"/>
          </w:tcPr>
          <w:p w:rsidR="00D137BD" w:rsidRPr="009D69FB" w:rsidP="00D137BD">
            <w:pPr>
              <w:pStyle w:val="AttendeesList"/>
              <w:ind w:left="720" w:hanging="720"/>
              <w:jc w:val="center"/>
              <w:rPr>
                <w:i w:val="0"/>
                <w:sz w:val="22"/>
                <w:szCs w:val="22"/>
              </w:rPr>
            </w:pPr>
            <w:r w:rsidRPr="009D69FB">
              <w:rPr>
                <w:i w:val="0"/>
                <w:sz w:val="22"/>
                <w:szCs w:val="22"/>
              </w:rPr>
              <w:t>11.27.2023</w:t>
            </w:r>
          </w:p>
          <w:p w:rsidR="00D137BD" w:rsidRPr="009D69FB" w:rsidP="00D137BD">
            <w:pPr>
              <w:pStyle w:val="AttendeesList"/>
              <w:ind w:left="720" w:hanging="720"/>
              <w:jc w:val="center"/>
              <w:rPr>
                <w:i w:val="0"/>
                <w:sz w:val="22"/>
                <w:szCs w:val="22"/>
              </w:rPr>
            </w:pPr>
          </w:p>
        </w:tc>
        <w:tc>
          <w:tcPr>
            <w:tcW w:w="983" w:type="dxa"/>
            <w:tcBorders>
              <w:top w:val="single" w:sz="4" w:space="0" w:color="auto"/>
              <w:left w:val="single" w:sz="4" w:space="0" w:color="auto"/>
              <w:bottom w:val="single" w:sz="4" w:space="0" w:color="auto"/>
              <w:right w:val="single" w:sz="8" w:space="0" w:color="auto"/>
            </w:tcBorders>
            <w:vAlign w:val="center"/>
          </w:tcPr>
          <w:p w:rsidR="00D137BD" w:rsidRPr="00237312" w:rsidP="00D137BD">
            <w:pPr>
              <w:pStyle w:val="AttendeesList"/>
              <w:rPr>
                <w:szCs w:val="18"/>
              </w:rPr>
            </w:pPr>
            <w:r w:rsidRPr="00237312">
              <w:rPr>
                <w:szCs w:val="18"/>
              </w:rPr>
              <w:t>9:00 a.m. - 12:00 p.m.</w:t>
            </w:r>
          </w:p>
        </w:tc>
        <w:tc>
          <w:tcPr>
            <w:tcW w:w="3756" w:type="dxa"/>
            <w:tcBorders>
              <w:top w:val="single" w:sz="4" w:space="0" w:color="auto"/>
              <w:left w:val="single" w:sz="8" w:space="0" w:color="auto"/>
              <w:bottom w:val="single" w:sz="4" w:space="0" w:color="auto"/>
              <w:right w:val="single" w:sz="8" w:space="0" w:color="auto"/>
            </w:tcBorders>
            <w:vAlign w:val="center"/>
          </w:tcPr>
          <w:p w:rsidR="00D137BD" w:rsidRPr="00237312" w:rsidP="00D137BD">
            <w:pPr>
              <w:pStyle w:val="event-address"/>
              <w:rPr>
                <w:rFonts w:ascii="Arial Narrow" w:hAnsi="Arial Narrow"/>
                <w:color w:val="222222"/>
                <w:sz w:val="22"/>
                <w:szCs w:val="22"/>
              </w:rPr>
            </w:pPr>
            <w:r w:rsidRPr="00237312">
              <w:rPr>
                <w:rFonts w:ascii="Arial Narrow" w:hAnsi="Arial Narrow"/>
                <w:color w:val="222222"/>
                <w:sz w:val="22"/>
                <w:szCs w:val="22"/>
              </w:rPr>
              <w:t>Teleconference/Webex</w:t>
            </w:r>
          </w:p>
        </w:tc>
        <w:tc>
          <w:tcPr>
            <w:tcW w:w="1816" w:type="dxa"/>
            <w:tcBorders>
              <w:top w:val="single" w:sz="4" w:space="0" w:color="auto"/>
              <w:left w:val="single" w:sz="4" w:space="0" w:color="auto"/>
              <w:bottom w:val="single" w:sz="4" w:space="0" w:color="auto"/>
              <w:right w:val="single" w:sz="4" w:space="0" w:color="auto"/>
            </w:tcBorders>
          </w:tcPr>
          <w:p w:rsidR="00D137BD" w:rsidRPr="00914FFA" w:rsidP="009D69FB">
            <w:pPr>
              <w:pStyle w:val="DisclaimerHeading"/>
              <w:spacing w:after="40" w:line="220" w:lineRule="exact"/>
              <w:jc w:val="center"/>
              <w:rPr>
                <w:b w:val="0"/>
                <w:color w:val="auto"/>
                <w:sz w:val="22"/>
                <w:szCs w:val="18"/>
              </w:rPr>
            </w:pPr>
            <w:r w:rsidRPr="00914FFA">
              <w:rPr>
                <w:b w:val="0"/>
                <w:color w:val="auto"/>
                <w:sz w:val="22"/>
                <w:szCs w:val="18"/>
              </w:rPr>
              <w:t>11.17.2023</w:t>
            </w:r>
          </w:p>
        </w:tc>
        <w:tc>
          <w:tcPr>
            <w:tcW w:w="1529" w:type="dxa"/>
            <w:tcBorders>
              <w:top w:val="single" w:sz="4" w:space="0" w:color="auto"/>
              <w:left w:val="single" w:sz="4" w:space="0" w:color="auto"/>
              <w:bottom w:val="single" w:sz="4" w:space="0" w:color="auto"/>
              <w:right w:val="single" w:sz="4" w:space="0" w:color="auto"/>
            </w:tcBorders>
          </w:tcPr>
          <w:p w:rsidR="00D137BD" w:rsidRPr="00914FFA" w:rsidP="009D69FB">
            <w:pPr>
              <w:pStyle w:val="DisclaimerHeading"/>
              <w:spacing w:after="40" w:line="220" w:lineRule="exact"/>
              <w:jc w:val="center"/>
              <w:rPr>
                <w:b w:val="0"/>
                <w:color w:val="auto"/>
                <w:sz w:val="22"/>
                <w:szCs w:val="18"/>
              </w:rPr>
            </w:pPr>
            <w:r w:rsidRPr="00914FFA">
              <w:rPr>
                <w:b w:val="0"/>
                <w:color w:val="auto"/>
                <w:sz w:val="22"/>
                <w:szCs w:val="18"/>
              </w:rPr>
              <w:t>11.22.2023</w:t>
            </w:r>
          </w:p>
        </w:tc>
      </w:tr>
    </w:tbl>
    <w:p w:rsidR="00B62597" w:rsidP="00337321">
      <w:pPr>
        <w:pStyle w:val="Author"/>
      </w:pPr>
      <w:r>
        <w:t xml:space="preserve">Author: </w:t>
      </w:r>
      <w:r w:rsidR="00847601">
        <w:t>Molly Mooney</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P="00027F49">
      <w:pPr>
        <w:pStyle w:val="DisclaimerBodyCopy"/>
      </w:pPr>
    </w:p>
    <w:p w:rsidR="00D2316E" w:rsidP="00D2316E">
      <w:pPr>
        <w:pStyle w:val="DisclaimerHeading"/>
      </w:pPr>
      <w:r>
        <w:rPr>
          <w:rStyle w:val="Strong"/>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9"/>
      <w:headerReference w:type="default" r:id="rId10"/>
      <w:footerReference w:type="even" r:id="rId11"/>
      <w:footerReference w:type="default" r:id="rId12"/>
      <w:headerReference w:type="first" r:id="rId13"/>
      <w:footerReference w:type="firs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D69FB">
      <w:rPr>
        <w:rStyle w:val="PageNumber"/>
        <w:noProof/>
      </w:rPr>
      <w:t>2</w:t>
    </w:r>
    <w:r>
      <w:rPr>
        <w:rStyle w:val="PageNumber"/>
      </w:rPr>
      <w:fldChar w:fldCharType="end"/>
    </w:r>
  </w:p>
  <w:bookmarkStart w:id="3" w:name="OLE_LINK1"/>
  <w:p w:rsidR="0084760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Pr>
        <w:rFonts w:ascii="Arial Narrow" w:hAnsi="Arial Narrow"/>
        <w:sz w:val="20"/>
      </w:rPr>
      <w:t>For Public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760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7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847601">
      <w:t>June 21</w:t>
    </w:r>
    <w:r w:rsidR="00A56D57">
      <w:t>, 202</w:t>
    </w:r>
    <w:r w:rsidR="0097702E">
      <w:t>3</w:t>
    </w:r>
    <w:r w:rsidR="00A56D5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7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911926"/>
    <w:multiLevelType w:val="hybridMultilevel"/>
    <w:tmpl w:val="D2885FE8"/>
    <w:lvl w:ilvl="0">
      <w:start w:val="1"/>
      <w:numFmt w:val="decimal"/>
      <w:lvlText w:val="%1."/>
      <w:lvlJc w:val="left"/>
      <w:pPr>
        <w:ind w:left="720" w:hanging="360"/>
      </w:pPr>
      <w:rPr>
        <w:rFonts w:ascii="Arial Narrow" w:hAnsi="Arial Narrow"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74275A"/>
    <w:multiLevelType w:val="hybridMultilevel"/>
    <w:tmpl w:val="D12402B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0395BF3"/>
    <w:multiLevelType w:val="hybridMultilevel"/>
    <w:tmpl w:val="DC1CC252"/>
    <w:lvl w:ilvl="0">
      <w:start w:val="1"/>
      <w:numFmt w:val="decimal"/>
      <w:lvlText w:val="%1."/>
      <w:lvlJc w:val="left"/>
      <w:pPr>
        <w:ind w:left="360" w:hanging="360"/>
      </w:pPr>
      <w:rPr>
        <w:rFonts w:ascii="Arial Narrow" w:hAnsi="Arial Narrow" w:hint="default"/>
        <w:b w:val="0"/>
        <w:color w:val="auto"/>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58115830"/>
    <w:multiLevelType w:val="hybridMultilevel"/>
    <w:tmpl w:val="BE16E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FE22510"/>
    <w:multiLevelType w:val="hybridMultilevel"/>
    <w:tmpl w:val="017C429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59D0E50"/>
    <w:multiLevelType w:val="hybridMultilevel"/>
    <w:tmpl w:val="7A06BD0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2"/>
  </w:num>
  <w:num w:numId="13">
    <w:abstractNumId w:val="7"/>
  </w:num>
  <w:num w:numId="14">
    <w:abstractNumId w:val="1"/>
  </w:num>
  <w:num w:numId="15">
    <w:abstractNumId w:val="5"/>
  </w:num>
  <w:num w:numId="16">
    <w:abstractNumId w:val="8"/>
  </w:num>
  <w:num w:numId="17">
    <w:abstractNumId w:val="5"/>
  </w:num>
  <w:num w:numId="18">
    <w:abstractNumId w:val="8"/>
  </w:num>
  <w:num w:numId="19">
    <w:abstractNumId w:val="9"/>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01"/>
    <w:rsid w:val="00010057"/>
    <w:rsid w:val="000232DF"/>
    <w:rsid w:val="00027F49"/>
    <w:rsid w:val="000333FF"/>
    <w:rsid w:val="0006798D"/>
    <w:rsid w:val="00092135"/>
    <w:rsid w:val="00117AF9"/>
    <w:rsid w:val="00121F58"/>
    <w:rsid w:val="001678E8"/>
    <w:rsid w:val="00170E02"/>
    <w:rsid w:val="001B2242"/>
    <w:rsid w:val="001C0CC0"/>
    <w:rsid w:val="001D3B68"/>
    <w:rsid w:val="002113BD"/>
    <w:rsid w:val="00237312"/>
    <w:rsid w:val="0025139E"/>
    <w:rsid w:val="002B2F98"/>
    <w:rsid w:val="002C6057"/>
    <w:rsid w:val="002D2017"/>
    <w:rsid w:val="00305238"/>
    <w:rsid w:val="00317419"/>
    <w:rsid w:val="003251CE"/>
    <w:rsid w:val="00337321"/>
    <w:rsid w:val="00394850"/>
    <w:rsid w:val="003B55E1"/>
    <w:rsid w:val="003C17E2"/>
    <w:rsid w:val="003C3320"/>
    <w:rsid w:val="003D7E5C"/>
    <w:rsid w:val="003E7A73"/>
    <w:rsid w:val="0041109D"/>
    <w:rsid w:val="00435F2D"/>
    <w:rsid w:val="0046043F"/>
    <w:rsid w:val="00491490"/>
    <w:rsid w:val="00494494"/>
    <w:rsid w:val="004969FA"/>
    <w:rsid w:val="004B252B"/>
    <w:rsid w:val="00527104"/>
    <w:rsid w:val="00531C19"/>
    <w:rsid w:val="00564DEE"/>
    <w:rsid w:val="0057441E"/>
    <w:rsid w:val="005A5D0D"/>
    <w:rsid w:val="005D6D05"/>
    <w:rsid w:val="006024A0"/>
    <w:rsid w:val="00602967"/>
    <w:rsid w:val="00606F11"/>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37B12"/>
    <w:rsid w:val="00841282"/>
    <w:rsid w:val="00847601"/>
    <w:rsid w:val="008552A3"/>
    <w:rsid w:val="00882652"/>
    <w:rsid w:val="00914FFA"/>
    <w:rsid w:val="00917386"/>
    <w:rsid w:val="0097702E"/>
    <w:rsid w:val="00991528"/>
    <w:rsid w:val="009A5430"/>
    <w:rsid w:val="009C15C4"/>
    <w:rsid w:val="009D69FB"/>
    <w:rsid w:val="009F53F9"/>
    <w:rsid w:val="00A05391"/>
    <w:rsid w:val="00A317A9"/>
    <w:rsid w:val="00A41149"/>
    <w:rsid w:val="00A56D57"/>
    <w:rsid w:val="00A931C3"/>
    <w:rsid w:val="00AA6C34"/>
    <w:rsid w:val="00AB5A32"/>
    <w:rsid w:val="00AC2247"/>
    <w:rsid w:val="00B010AD"/>
    <w:rsid w:val="00B16D95"/>
    <w:rsid w:val="00B20316"/>
    <w:rsid w:val="00B34E3C"/>
    <w:rsid w:val="00B62597"/>
    <w:rsid w:val="00BA6146"/>
    <w:rsid w:val="00BB531B"/>
    <w:rsid w:val="00BB6921"/>
    <w:rsid w:val="00BF331B"/>
    <w:rsid w:val="00C064BB"/>
    <w:rsid w:val="00C10A93"/>
    <w:rsid w:val="00C439EC"/>
    <w:rsid w:val="00C5307B"/>
    <w:rsid w:val="00C72168"/>
    <w:rsid w:val="00C757F4"/>
    <w:rsid w:val="00C75A9D"/>
    <w:rsid w:val="00CA49B9"/>
    <w:rsid w:val="00CB19DE"/>
    <w:rsid w:val="00CB475B"/>
    <w:rsid w:val="00CC1B47"/>
    <w:rsid w:val="00D060CC"/>
    <w:rsid w:val="00D06EC8"/>
    <w:rsid w:val="00D136EA"/>
    <w:rsid w:val="00D137BD"/>
    <w:rsid w:val="00D2316E"/>
    <w:rsid w:val="00D251ED"/>
    <w:rsid w:val="00D831E4"/>
    <w:rsid w:val="00D95949"/>
    <w:rsid w:val="00DA23DE"/>
    <w:rsid w:val="00DA4EBF"/>
    <w:rsid w:val="00DB29E9"/>
    <w:rsid w:val="00DE34CF"/>
    <w:rsid w:val="00DF1112"/>
    <w:rsid w:val="00E1605D"/>
    <w:rsid w:val="00E32B6B"/>
    <w:rsid w:val="00E5387A"/>
    <w:rsid w:val="00E55E84"/>
    <w:rsid w:val="00EB68B0"/>
    <w:rsid w:val="00F4190F"/>
    <w:rsid w:val="00F5077C"/>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F382AF"/>
  <w15:docId w15:val="{91D266BC-F47A-49A1-92F4-7E29BA9D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109D"/>
    <w:pPr>
      <w:spacing w:after="0" w:line="240" w:lineRule="auto"/>
      <w:ind w:left="720"/>
    </w:pPr>
    <w:rPr>
      <w:rFonts w:ascii="Calibri" w:hAnsi="Calibri" w:cs="Calibri"/>
    </w:rPr>
  </w:style>
  <w:style w:type="paragraph" w:customStyle="1" w:styleId="event-address">
    <w:name w:val="event-address"/>
    <w:basedOn w:val="Normal"/>
    <w:rsid w:val="00D137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