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Load Analysis Subcommittee</w:t>
      </w:r>
    </w:p>
    <w:p w:rsidR="00847601" w:rsidRPr="00317419" w:rsidP="00847601">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B62597" w:rsidRPr="00B62597" w:rsidP="00755096">
      <w:pPr>
        <w:pStyle w:val="MeetingDetails"/>
      </w:pPr>
      <w:r>
        <w:t>October 18</w:t>
      </w:r>
      <w:r w:rsidR="00847601">
        <w:t>,</w:t>
      </w:r>
      <w:r w:rsidR="002B2F98">
        <w:t xml:space="preserve"> </w:t>
      </w:r>
      <w:r w:rsidR="0097702E">
        <w:t>2023</w:t>
      </w:r>
    </w:p>
    <w:p w:rsidR="00B62597" w:rsidRPr="00B62597" w:rsidP="00755096">
      <w:pPr>
        <w:pStyle w:val="MeetingDetails"/>
        <w:rPr>
          <w:sz w:val="28"/>
          <w:u w:val="single"/>
        </w:rPr>
      </w:pPr>
      <w:r>
        <w:t>9</w:t>
      </w:r>
      <w:r w:rsidR="002B2F98">
        <w:t xml:space="preserve">:00 </w:t>
      </w:r>
      <w:r>
        <w:t>a</w:t>
      </w:r>
      <w:r w:rsidR="002B2F98">
        <w:t xml:space="preserve">.m. – </w:t>
      </w:r>
      <w:r w:rsidR="002F742E">
        <w:t>12</w:t>
      </w:r>
      <w:r w:rsidR="00010057">
        <w:t xml:space="preserve">:00 </w:t>
      </w:r>
      <w:r w:rsidR="002F742E">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303751">
        <w:t>9:</w:t>
      </w:r>
      <w:r w:rsidRPr="00527104">
        <w:t>00-</w:t>
      </w:r>
      <w:r w:rsidR="00303751">
        <w:t>9</w:t>
      </w:r>
      <w:r w:rsidRPr="00527104">
        <w:t>:</w:t>
      </w:r>
      <w:r w:rsidR="00847601">
        <w:t>10</w:t>
      </w:r>
      <w:r w:rsidRPr="00527104">
        <w:t>)</w:t>
      </w:r>
    </w:p>
    <w:bookmarkEnd w:id="0"/>
    <w:bookmarkEnd w:id="1"/>
    <w:p w:rsidR="00847601" w:rsidRPr="004B252B" w:rsidP="00847601">
      <w:pPr>
        <w:numPr>
          <w:ilvl w:val="0"/>
          <w:numId w:val="14"/>
        </w:numPr>
        <w:tabs>
          <w:tab w:val="left" w:pos="0"/>
        </w:tabs>
        <w:spacing w:before="120" w:line="240" w:lineRule="auto"/>
        <w:rPr>
          <w:rFonts w:ascii="Arial Narrow" w:eastAsia="Times New Roman" w:hAnsi="Arial Narrow" w:cs="Times New Roman"/>
          <w:sz w:val="24"/>
        </w:rPr>
      </w:pPr>
      <w:r w:rsidRPr="004B252B">
        <w:rPr>
          <w:rFonts w:ascii="Arial Narrow" w:eastAsia="Times New Roman" w:hAnsi="Arial Narrow" w:cs="Times New Roman"/>
          <w:sz w:val="24"/>
        </w:rPr>
        <w:t>Welcome, announcements and review of the Anti-trust, Code of Conduct, and Media Participation Guidelines.</w:t>
      </w:r>
    </w:p>
    <w:p w:rsidR="00847601" w:rsidRPr="004B252B" w:rsidP="00847601">
      <w:pPr>
        <w:numPr>
          <w:ilvl w:val="0"/>
          <w:numId w:val="14"/>
        </w:numPr>
        <w:tabs>
          <w:tab w:val="left" w:pos="0"/>
        </w:tabs>
        <w:spacing w:line="240" w:lineRule="auto"/>
        <w:rPr>
          <w:rFonts w:ascii="Arial Narrow" w:eastAsia="Times New Roman" w:hAnsi="Arial Narrow" w:cs="Times New Roman"/>
          <w:sz w:val="24"/>
        </w:rPr>
      </w:pPr>
      <w:r w:rsidRPr="004B252B">
        <w:rPr>
          <w:rFonts w:ascii="Arial Narrow" w:eastAsia="Times New Roman" w:hAnsi="Arial Narrow" w:cs="Times New Roman"/>
          <w:sz w:val="24"/>
        </w:rPr>
        <w:t xml:space="preserve">Approve draft minutes from the </w:t>
      </w:r>
      <w:r w:rsidR="002F742E">
        <w:rPr>
          <w:rFonts w:ascii="Arial Narrow" w:eastAsia="Times New Roman" w:hAnsi="Arial Narrow" w:cs="Times New Roman"/>
          <w:sz w:val="24"/>
        </w:rPr>
        <w:t>July</w:t>
      </w:r>
      <w:r w:rsidR="00303751">
        <w:rPr>
          <w:rFonts w:ascii="Arial Narrow" w:eastAsia="Times New Roman" w:hAnsi="Arial Narrow" w:cs="Times New Roman"/>
          <w:sz w:val="24"/>
        </w:rPr>
        <w:t xml:space="preserve"> </w:t>
      </w:r>
      <w:r w:rsidR="002F742E">
        <w:rPr>
          <w:rFonts w:ascii="Arial Narrow" w:eastAsia="Times New Roman" w:hAnsi="Arial Narrow" w:cs="Times New Roman"/>
          <w:sz w:val="24"/>
        </w:rPr>
        <w:t>19</w:t>
      </w:r>
      <w:r w:rsidR="00303751">
        <w:rPr>
          <w:rFonts w:ascii="Arial Narrow" w:eastAsia="Times New Roman" w:hAnsi="Arial Narrow" w:cs="Times New Roman"/>
          <w:sz w:val="24"/>
        </w:rPr>
        <w:t>, 2023</w:t>
      </w:r>
      <w:r w:rsidRPr="004B252B">
        <w:rPr>
          <w:rFonts w:ascii="Arial Narrow" w:eastAsia="Times New Roman" w:hAnsi="Arial Narrow" w:cs="Times New Roman"/>
          <w:sz w:val="24"/>
        </w:rPr>
        <w:t xml:space="preserve"> </w:t>
      </w:r>
      <w:r>
        <w:rPr>
          <w:rFonts w:ascii="Arial Narrow" w:eastAsia="Times New Roman" w:hAnsi="Arial Narrow" w:cs="Times New Roman"/>
          <w:sz w:val="24"/>
        </w:rPr>
        <w:t>LAS</w:t>
      </w:r>
      <w:r w:rsidRPr="004B252B">
        <w:rPr>
          <w:rFonts w:ascii="Arial Narrow" w:eastAsia="Times New Roman" w:hAnsi="Arial Narrow" w:cs="Times New Roman"/>
          <w:sz w:val="24"/>
        </w:rPr>
        <w:t xml:space="preserve"> meeting</w:t>
      </w:r>
      <w:r w:rsidR="009D69FB">
        <w:rPr>
          <w:rFonts w:ascii="Arial Narrow" w:eastAsia="Times New Roman" w:hAnsi="Arial Narrow" w:cs="Times New Roman"/>
          <w:sz w:val="24"/>
        </w:rPr>
        <w:t>.</w:t>
      </w:r>
    </w:p>
    <w:p w:rsidR="001D3B68" w:rsidRPr="00DB29E9" w:rsidP="00847601">
      <w:pPr>
        <w:pStyle w:val="PrimaryHeading"/>
      </w:pPr>
      <w:r>
        <w:t>Meeting Materials</w:t>
      </w:r>
      <w:r>
        <w:t xml:space="preserve"> (</w:t>
      </w:r>
      <w:r w:rsidR="00303751">
        <w:t>9</w:t>
      </w:r>
      <w:r>
        <w:t>:10</w:t>
      </w:r>
      <w:r w:rsidR="00303751">
        <w:t>-1</w:t>
      </w:r>
      <w:r w:rsidR="002F742E">
        <w:t>2</w:t>
      </w:r>
      <w:r>
        <w:t>:00)</w:t>
      </w:r>
    </w:p>
    <w:p w:rsidR="00435F2D" w:rsidRPr="00435F2D" w:rsidP="00435F2D">
      <w:pPr>
        <w:pStyle w:val="SecondaryHeading-Numbered"/>
        <w:numPr>
          <w:ilvl w:val="0"/>
          <w:numId w:val="14"/>
        </w:numPr>
        <w:spacing w:after="0"/>
        <w:rPr>
          <w:b w:val="0"/>
          <w:u w:val="single"/>
        </w:rPr>
      </w:pPr>
      <w:r>
        <w:rPr>
          <w:b w:val="0"/>
          <w:u w:val="single"/>
        </w:rPr>
        <w:t>Large Load Adjustment Requests for the 2024 Load Forecast</w:t>
      </w:r>
      <w:r>
        <w:rPr>
          <w:b w:val="0"/>
        </w:rPr>
        <w:t xml:space="preserve">   </w:t>
      </w:r>
    </w:p>
    <w:p w:rsidR="002F742E" w:rsidP="00435F2D">
      <w:pPr>
        <w:pStyle w:val="SecondaryHeading-Numbered"/>
        <w:numPr>
          <w:ilvl w:val="0"/>
          <w:numId w:val="0"/>
        </w:numPr>
        <w:ind w:left="720"/>
        <w:rPr>
          <w:b w:val="0"/>
        </w:rPr>
      </w:pPr>
      <w:r>
        <w:rPr>
          <w:b w:val="0"/>
        </w:rPr>
        <w:t>A representative from each</w:t>
      </w:r>
      <w:r>
        <w:rPr>
          <w:b w:val="0"/>
        </w:rPr>
        <w:t xml:space="preserve"> requesting</w:t>
      </w:r>
      <w:r>
        <w:rPr>
          <w:b w:val="0"/>
        </w:rPr>
        <w:t xml:space="preserve"> entity for</w:t>
      </w:r>
      <w:r>
        <w:rPr>
          <w:b w:val="0"/>
        </w:rPr>
        <w:t xml:space="preserve"> a large load adjustment for the 2024 load forecast will present on their specific load request.</w:t>
      </w:r>
    </w:p>
    <w:p w:rsidR="002F742E" w:rsidP="002F742E">
      <w:pPr>
        <w:pStyle w:val="SecondaryHeading-Numbered"/>
        <w:numPr>
          <w:ilvl w:val="0"/>
          <w:numId w:val="22"/>
        </w:numPr>
        <w:rPr>
          <w:b w:val="0"/>
        </w:rPr>
      </w:pPr>
      <w:r>
        <w:rPr>
          <w:b w:val="0"/>
        </w:rPr>
        <w:t>Dominion</w:t>
      </w:r>
    </w:p>
    <w:p w:rsidR="002F742E" w:rsidP="002F742E">
      <w:pPr>
        <w:pStyle w:val="SecondaryHeading-Numbered"/>
        <w:numPr>
          <w:ilvl w:val="0"/>
          <w:numId w:val="22"/>
        </w:numPr>
        <w:rPr>
          <w:b w:val="0"/>
        </w:rPr>
      </w:pPr>
      <w:r>
        <w:rPr>
          <w:b w:val="0"/>
        </w:rPr>
        <w:t>NOVEC</w:t>
      </w:r>
    </w:p>
    <w:p w:rsidR="002F742E" w:rsidP="002F742E">
      <w:pPr>
        <w:pStyle w:val="SecondaryHeading-Numbered"/>
        <w:numPr>
          <w:ilvl w:val="0"/>
          <w:numId w:val="22"/>
        </w:numPr>
        <w:rPr>
          <w:b w:val="0"/>
        </w:rPr>
      </w:pPr>
      <w:r>
        <w:rPr>
          <w:b w:val="0"/>
        </w:rPr>
        <w:t>AEP</w:t>
      </w:r>
    </w:p>
    <w:p w:rsidR="002F742E" w:rsidP="002F742E">
      <w:pPr>
        <w:pStyle w:val="SecondaryHeading-Numbered"/>
        <w:numPr>
          <w:ilvl w:val="0"/>
          <w:numId w:val="22"/>
        </w:numPr>
        <w:rPr>
          <w:b w:val="0"/>
        </w:rPr>
      </w:pPr>
      <w:r>
        <w:rPr>
          <w:b w:val="0"/>
        </w:rPr>
        <w:t>FirstEnergy – ATSI, METED, APS</w:t>
      </w:r>
    </w:p>
    <w:p w:rsidR="005E2FB6" w:rsidP="005E2FB6">
      <w:pPr>
        <w:pStyle w:val="SecondaryHeading-Numbered"/>
        <w:numPr>
          <w:ilvl w:val="0"/>
          <w:numId w:val="22"/>
        </w:numPr>
        <w:rPr>
          <w:b w:val="0"/>
        </w:rPr>
      </w:pPr>
      <w:r>
        <w:rPr>
          <w:b w:val="0"/>
        </w:rPr>
        <w:t>PS</w:t>
      </w:r>
    </w:p>
    <w:p w:rsidR="005E2FB6" w:rsidRPr="00DB29E9" w:rsidP="005E2FB6">
      <w:pPr>
        <w:pStyle w:val="PrimaryHeading"/>
      </w:pPr>
      <w:r>
        <w:t>Informational Update</w:t>
      </w:r>
    </w:p>
    <w:p w:rsidR="00DA4EBF" w:rsidRPr="00435F2D" w:rsidP="00435F2D">
      <w:pPr>
        <w:pStyle w:val="SecondaryHeading-Numbered"/>
        <w:numPr>
          <w:ilvl w:val="0"/>
          <w:numId w:val="0"/>
        </w:numPr>
        <w:ind w:left="720"/>
        <w:rPr>
          <w:b w:val="0"/>
        </w:rPr>
      </w:pPr>
      <w:r>
        <w:rPr>
          <w:b w:val="0"/>
        </w:rPr>
        <w:t xml:space="preserve">PJM has </w:t>
      </w:r>
      <w:r w:rsidR="00230944">
        <w:rPr>
          <w:b w:val="0"/>
        </w:rPr>
        <w:t>contracted with S&amp;P Global to provide a</w:t>
      </w:r>
      <w:r w:rsidR="00E4677A">
        <w:rPr>
          <w:b w:val="0"/>
        </w:rPr>
        <w:t>n</w:t>
      </w:r>
      <w:r w:rsidR="00230944">
        <w:rPr>
          <w:b w:val="0"/>
        </w:rPr>
        <w:t xml:space="preserve"> electric </w:t>
      </w:r>
      <w:r w:rsidR="00E4677A">
        <w:rPr>
          <w:b w:val="0"/>
        </w:rPr>
        <w:t>vehicle forecast.  They will provide a light duty, medium and heavy duty forecast for use in the 2024 Load Forecast.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D060CC">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9D69F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vAlign w:val="bottom"/>
          </w:tcPr>
          <w:p w:rsidR="00D137BD" w:rsidRPr="009D69FB" w:rsidP="00D137BD">
            <w:pPr>
              <w:pStyle w:val="AttendeesList"/>
              <w:ind w:left="720" w:hanging="720"/>
              <w:jc w:val="center"/>
              <w:rPr>
                <w:i w:val="0"/>
                <w:sz w:val="22"/>
                <w:szCs w:val="22"/>
              </w:rPr>
            </w:pPr>
            <w:r w:rsidRPr="009D69FB">
              <w:rPr>
                <w:i w:val="0"/>
                <w:sz w:val="22"/>
                <w:szCs w:val="22"/>
              </w:rPr>
              <w:t>11.27.2023</w:t>
            </w:r>
          </w:p>
          <w:p w:rsidR="00D137BD" w:rsidRPr="009D69FB" w:rsidP="00D137BD">
            <w:pPr>
              <w:pStyle w:val="AttendeesList"/>
              <w:ind w:left="720" w:hanging="720"/>
              <w:jc w:val="center"/>
              <w:rPr>
                <w:i w:val="0"/>
                <w:sz w:val="22"/>
                <w:szCs w:val="22"/>
              </w:rPr>
            </w:pPr>
            <w:bookmarkStart w:id="2" w:name="_GoBack"/>
            <w:bookmarkEnd w:id="2"/>
          </w:p>
        </w:tc>
        <w:tc>
          <w:tcPr>
            <w:tcW w:w="983" w:type="dxa"/>
            <w:tcBorders>
              <w:top w:val="single" w:sz="4" w:space="0" w:color="auto"/>
              <w:left w:val="single" w:sz="4" w:space="0" w:color="auto"/>
              <w:bottom w:val="single" w:sz="4" w:space="0" w:color="auto"/>
              <w:right w:val="single" w:sz="8" w:space="0" w:color="auto"/>
            </w:tcBorders>
            <w:vAlign w:val="center"/>
          </w:tcPr>
          <w:p w:rsidR="00D137BD" w:rsidRPr="00237312" w:rsidP="00D137BD">
            <w:pPr>
              <w:pStyle w:val="AttendeesList"/>
              <w:rPr>
                <w:szCs w:val="18"/>
              </w:rPr>
            </w:pPr>
            <w:r w:rsidRPr="00237312">
              <w:rPr>
                <w:szCs w:val="18"/>
              </w:rPr>
              <w:t>9:00 a.m. - 12:00 p.m.</w:t>
            </w:r>
          </w:p>
        </w:tc>
        <w:tc>
          <w:tcPr>
            <w:tcW w:w="3756" w:type="dxa"/>
            <w:tcBorders>
              <w:top w:val="single" w:sz="4" w:space="0" w:color="auto"/>
              <w:left w:val="single" w:sz="8" w:space="0" w:color="auto"/>
              <w:bottom w:val="single" w:sz="4" w:space="0" w:color="auto"/>
              <w:right w:val="single" w:sz="8" w:space="0" w:color="auto"/>
            </w:tcBorders>
            <w:vAlign w:val="center"/>
          </w:tcPr>
          <w:p w:rsidR="00D137BD" w:rsidRPr="00237312" w:rsidP="00D137BD">
            <w:pPr>
              <w:pStyle w:val="event-address"/>
              <w:rPr>
                <w:rFonts w:ascii="Arial Narrow" w:hAnsi="Arial Narrow"/>
                <w:color w:val="222222"/>
                <w:sz w:val="22"/>
                <w:szCs w:val="22"/>
              </w:rPr>
            </w:pPr>
            <w:r w:rsidRPr="00237312">
              <w:rPr>
                <w:rFonts w:ascii="Arial Narrow" w:hAnsi="Arial Narrow"/>
                <w:color w:val="222222"/>
                <w:sz w:val="22"/>
                <w:szCs w:val="22"/>
              </w:rPr>
              <w:t>Teleconference/Webex</w:t>
            </w:r>
          </w:p>
        </w:tc>
        <w:tc>
          <w:tcPr>
            <w:tcW w:w="1816" w:type="dxa"/>
            <w:tcBorders>
              <w:top w:val="single" w:sz="4" w:space="0" w:color="auto"/>
              <w:left w:val="single" w:sz="4" w:space="0" w:color="auto"/>
              <w:bottom w:val="single" w:sz="4" w:space="0" w:color="auto"/>
              <w:right w:val="single" w:sz="4" w:space="0" w:color="auto"/>
            </w:tcBorders>
          </w:tcPr>
          <w:p w:rsidR="00D137BD" w:rsidRPr="00914FFA" w:rsidP="009D69FB">
            <w:pPr>
              <w:pStyle w:val="DisclaimerHeading"/>
              <w:spacing w:after="40" w:line="220" w:lineRule="exact"/>
              <w:jc w:val="center"/>
              <w:rPr>
                <w:b w:val="0"/>
                <w:color w:val="auto"/>
                <w:sz w:val="22"/>
                <w:szCs w:val="18"/>
              </w:rPr>
            </w:pPr>
            <w:r w:rsidRPr="00914FFA">
              <w:rPr>
                <w:b w:val="0"/>
                <w:color w:val="auto"/>
                <w:sz w:val="22"/>
                <w:szCs w:val="18"/>
              </w:rPr>
              <w:t>11.17.2023</w:t>
            </w:r>
          </w:p>
        </w:tc>
        <w:tc>
          <w:tcPr>
            <w:tcW w:w="1529" w:type="dxa"/>
            <w:tcBorders>
              <w:top w:val="single" w:sz="4" w:space="0" w:color="auto"/>
              <w:left w:val="single" w:sz="4" w:space="0" w:color="auto"/>
              <w:bottom w:val="single" w:sz="4" w:space="0" w:color="auto"/>
              <w:right w:val="single" w:sz="4" w:space="0" w:color="auto"/>
            </w:tcBorders>
          </w:tcPr>
          <w:p w:rsidR="00D137BD" w:rsidRPr="00914FFA" w:rsidP="009D69FB">
            <w:pPr>
              <w:pStyle w:val="DisclaimerHeading"/>
              <w:spacing w:after="40" w:line="220" w:lineRule="exact"/>
              <w:jc w:val="center"/>
              <w:rPr>
                <w:b w:val="0"/>
                <w:color w:val="auto"/>
                <w:sz w:val="22"/>
                <w:szCs w:val="18"/>
              </w:rPr>
            </w:pPr>
            <w:r w:rsidRPr="00914FFA">
              <w:rPr>
                <w:b w:val="0"/>
                <w:color w:val="auto"/>
                <w:sz w:val="22"/>
                <w:szCs w:val="18"/>
              </w:rPr>
              <w:t>11.22.2023</w:t>
            </w:r>
          </w:p>
        </w:tc>
      </w:tr>
    </w:tbl>
    <w:p w:rsidR="00B62597" w:rsidP="00337321">
      <w:pPr>
        <w:pStyle w:val="Author"/>
      </w:pPr>
      <w:r>
        <w:t xml:space="preserve">Author: </w:t>
      </w:r>
      <w:r w:rsidR="00847601">
        <w:t>Molly Mooney</w:t>
      </w:r>
    </w:p>
    <w:p w:rsidR="00A317A9" w:rsidP="00337321">
      <w:pPr>
        <w:pStyle w:val="Author"/>
      </w:pPr>
    </w:p>
    <w:p w:rsidR="00F51B33"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805F85" w:rsidRPr="00B62597" w:rsidP="00805F85">
      <w:pPr>
        <w:pStyle w:val="DisclaimerHeading"/>
        <w:spacing w:before="240"/>
      </w:pPr>
      <w:r w:rsidRPr="00B62597">
        <w:t>Code of Conduct:</w:t>
      </w:r>
    </w:p>
    <w:p w:rsidR="00805F85" w:rsidRPr="00B62597" w:rsidP="00805F85">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805F85" w:rsidRPr="00B62597" w:rsidP="00337321">
      <w:pPr>
        <w:pStyle w:val="DisclosureBody"/>
      </w:pP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P="00027F49">
      <w:pPr>
        <w:pStyle w:val="DisclaimerBodyCopy"/>
      </w:pPr>
    </w:p>
    <w:p w:rsidR="00D2316E" w:rsidP="00D2316E">
      <w:pPr>
        <w:pStyle w:val="DisclaimerHeading"/>
      </w:pPr>
      <w:r>
        <w:rPr>
          <w:rStyle w:val="Strong"/>
        </w:rPr>
        <w:t>Participant Use of Webex Chat:</w:t>
      </w:r>
    </w:p>
    <w:p w:rsidR="00D2316E" w:rsidP="00D2316E">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51B33">
      <w:rPr>
        <w:rStyle w:val="PageNumber"/>
        <w:noProof/>
      </w:rPr>
      <w:t>2</w:t>
    </w:r>
    <w:r>
      <w:rPr>
        <w:rStyle w:val="PageNumber"/>
      </w:rPr>
      <w:fldChar w:fldCharType="end"/>
    </w:r>
  </w:p>
  <w:bookmarkStart w:id="3" w:name="OLE_LINK1"/>
  <w:p w:rsidR="00847601"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2F742E">
      <w:t>October 1</w:t>
    </w:r>
    <w:r w:rsidR="00E4677A">
      <w:t>3</w:t>
    </w:r>
    <w:r w:rsidR="00A56D57">
      <w:t>, 202</w:t>
    </w:r>
    <w:r w:rsidR="0097702E">
      <w:t>3</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911926"/>
    <w:multiLevelType w:val="hybridMultilevel"/>
    <w:tmpl w:val="D2885FE8"/>
    <w:lvl w:ilvl="0">
      <w:start w:val="1"/>
      <w:numFmt w:val="decimal"/>
      <w:lvlText w:val="%1."/>
      <w:lvlJc w:val="left"/>
      <w:pPr>
        <w:ind w:left="720" w:hanging="360"/>
      </w:pPr>
      <w:rPr>
        <w:rFonts w:ascii="Arial Narrow" w:hAnsi="Arial Narrow" w:hint="default"/>
        <w:b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74275A"/>
    <w:multiLevelType w:val="hybridMultilevel"/>
    <w:tmpl w:val="D12402B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0395BF3"/>
    <w:multiLevelType w:val="hybridMultilevel"/>
    <w:tmpl w:val="DC1CC252"/>
    <w:lvl w:ilvl="0">
      <w:start w:val="1"/>
      <w:numFmt w:val="decimal"/>
      <w:lvlText w:val="%1."/>
      <w:lvlJc w:val="left"/>
      <w:pPr>
        <w:ind w:left="360" w:hanging="360"/>
      </w:pPr>
      <w:rPr>
        <w:rFonts w:ascii="Arial Narrow" w:hAnsi="Arial Narrow" w:hint="default"/>
        <w:b w:val="0"/>
        <w:color w:val="auto"/>
        <w:sz w:val="24"/>
        <w:szCs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58115830"/>
    <w:multiLevelType w:val="hybridMultilevel"/>
    <w:tmpl w:val="BE16E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FE22510"/>
    <w:multiLevelType w:val="hybridMultilevel"/>
    <w:tmpl w:val="017C4292"/>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59D0E50"/>
    <w:multiLevelType w:val="hybridMultilevel"/>
    <w:tmpl w:val="7A06BD0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B792EAB"/>
    <w:multiLevelType w:val="hybridMultilevel"/>
    <w:tmpl w:val="D012D12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2"/>
  </w:num>
  <w:num w:numId="13">
    <w:abstractNumId w:val="7"/>
  </w:num>
  <w:num w:numId="14">
    <w:abstractNumId w:val="1"/>
  </w:num>
  <w:num w:numId="15">
    <w:abstractNumId w:val="5"/>
  </w:num>
  <w:num w:numId="16">
    <w:abstractNumId w:val="8"/>
  </w:num>
  <w:num w:numId="17">
    <w:abstractNumId w:val="5"/>
  </w:num>
  <w:num w:numId="18">
    <w:abstractNumId w:val="8"/>
  </w:num>
  <w:num w:numId="19">
    <w:abstractNumId w:val="9"/>
  </w:num>
  <w:num w:numId="20">
    <w:abstractNumId w:val="3"/>
  </w:num>
  <w:num w:numId="21">
    <w:abstractNumId w:val="1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01"/>
    <w:rsid w:val="00010057"/>
    <w:rsid w:val="000232DF"/>
    <w:rsid w:val="00027F49"/>
    <w:rsid w:val="000333FF"/>
    <w:rsid w:val="0006798D"/>
    <w:rsid w:val="00092135"/>
    <w:rsid w:val="00117AF9"/>
    <w:rsid w:val="00121F58"/>
    <w:rsid w:val="00150415"/>
    <w:rsid w:val="001678E8"/>
    <w:rsid w:val="00170E02"/>
    <w:rsid w:val="001B2242"/>
    <w:rsid w:val="001C0CC0"/>
    <w:rsid w:val="001D3B68"/>
    <w:rsid w:val="002113BD"/>
    <w:rsid w:val="00230944"/>
    <w:rsid w:val="00237312"/>
    <w:rsid w:val="0025139E"/>
    <w:rsid w:val="002B2F98"/>
    <w:rsid w:val="002C6057"/>
    <w:rsid w:val="002D2017"/>
    <w:rsid w:val="002F742E"/>
    <w:rsid w:val="00303751"/>
    <w:rsid w:val="00305238"/>
    <w:rsid w:val="00317419"/>
    <w:rsid w:val="003251CE"/>
    <w:rsid w:val="00337321"/>
    <w:rsid w:val="00394850"/>
    <w:rsid w:val="003B55E1"/>
    <w:rsid w:val="003C17E2"/>
    <w:rsid w:val="003C3320"/>
    <w:rsid w:val="003D7E5C"/>
    <w:rsid w:val="003E7A73"/>
    <w:rsid w:val="0041109D"/>
    <w:rsid w:val="00435F2D"/>
    <w:rsid w:val="0046043F"/>
    <w:rsid w:val="00491490"/>
    <w:rsid w:val="00494494"/>
    <w:rsid w:val="004969FA"/>
    <w:rsid w:val="004B252B"/>
    <w:rsid w:val="00527104"/>
    <w:rsid w:val="00531C19"/>
    <w:rsid w:val="00564DEE"/>
    <w:rsid w:val="0057441E"/>
    <w:rsid w:val="005A5D0D"/>
    <w:rsid w:val="005D6D05"/>
    <w:rsid w:val="005E2FB6"/>
    <w:rsid w:val="006024A0"/>
    <w:rsid w:val="00602967"/>
    <w:rsid w:val="00606F11"/>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05F85"/>
    <w:rsid w:val="00837B12"/>
    <w:rsid w:val="00841282"/>
    <w:rsid w:val="00847601"/>
    <w:rsid w:val="008552A3"/>
    <w:rsid w:val="00882652"/>
    <w:rsid w:val="00914FFA"/>
    <w:rsid w:val="00917386"/>
    <w:rsid w:val="0097702E"/>
    <w:rsid w:val="00991528"/>
    <w:rsid w:val="009A5430"/>
    <w:rsid w:val="009C15C4"/>
    <w:rsid w:val="009D69FB"/>
    <w:rsid w:val="009F53F9"/>
    <w:rsid w:val="00A05391"/>
    <w:rsid w:val="00A317A9"/>
    <w:rsid w:val="00A41149"/>
    <w:rsid w:val="00A56D57"/>
    <w:rsid w:val="00A931C3"/>
    <w:rsid w:val="00AA6C34"/>
    <w:rsid w:val="00AB5A32"/>
    <w:rsid w:val="00AC2247"/>
    <w:rsid w:val="00B010AD"/>
    <w:rsid w:val="00B16D95"/>
    <w:rsid w:val="00B20316"/>
    <w:rsid w:val="00B34E3C"/>
    <w:rsid w:val="00B62597"/>
    <w:rsid w:val="00BA6146"/>
    <w:rsid w:val="00BB531B"/>
    <w:rsid w:val="00BB6921"/>
    <w:rsid w:val="00BF331B"/>
    <w:rsid w:val="00C064BB"/>
    <w:rsid w:val="00C10A93"/>
    <w:rsid w:val="00C439EC"/>
    <w:rsid w:val="00C5307B"/>
    <w:rsid w:val="00C72168"/>
    <w:rsid w:val="00C757F4"/>
    <w:rsid w:val="00C75A9D"/>
    <w:rsid w:val="00CA49B9"/>
    <w:rsid w:val="00CB19DE"/>
    <w:rsid w:val="00CB475B"/>
    <w:rsid w:val="00CC1B47"/>
    <w:rsid w:val="00CF2AD8"/>
    <w:rsid w:val="00D05CAA"/>
    <w:rsid w:val="00D060CC"/>
    <w:rsid w:val="00D06EC8"/>
    <w:rsid w:val="00D136EA"/>
    <w:rsid w:val="00D137BD"/>
    <w:rsid w:val="00D2316E"/>
    <w:rsid w:val="00D251ED"/>
    <w:rsid w:val="00D831E4"/>
    <w:rsid w:val="00D95949"/>
    <w:rsid w:val="00DA23DE"/>
    <w:rsid w:val="00DA4EBF"/>
    <w:rsid w:val="00DB29E9"/>
    <w:rsid w:val="00DE34CF"/>
    <w:rsid w:val="00DF1112"/>
    <w:rsid w:val="00E1605D"/>
    <w:rsid w:val="00E32B6B"/>
    <w:rsid w:val="00E4677A"/>
    <w:rsid w:val="00E5387A"/>
    <w:rsid w:val="00E55E84"/>
    <w:rsid w:val="00EB68B0"/>
    <w:rsid w:val="00F051DC"/>
    <w:rsid w:val="00F4190F"/>
    <w:rsid w:val="00F5077C"/>
    <w:rsid w:val="00F51B33"/>
    <w:rsid w:val="00FA5955"/>
    <w:rsid w:val="00FA61E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6D10E7"/>
  <w15:docId w15:val="{91D266BC-F47A-49A1-92F4-7E29BA9D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1109D"/>
    <w:pPr>
      <w:spacing w:after="0" w:line="240" w:lineRule="auto"/>
      <w:ind w:left="720"/>
    </w:pPr>
    <w:rPr>
      <w:rFonts w:ascii="Calibri" w:hAnsi="Calibri" w:cs="Calibri"/>
    </w:rPr>
  </w:style>
  <w:style w:type="paragraph" w:customStyle="1" w:styleId="event-address">
    <w:name w:val="event-address"/>
    <w:basedOn w:val="Normal"/>
    <w:rsid w:val="00D137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pjm.com/about-pjm/who-we-are/code-of-conduct"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